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6434583" w:displacedByCustomXml="next"/>
    <w:sdt>
      <w:sdtPr>
        <w:rPr>
          <w:rFonts w:asciiTheme="minorHAnsi" w:eastAsiaTheme="minorHAnsi" w:hAnsiTheme="minorHAnsi" w:cstheme="minorHAnsi"/>
          <w:color w:val="auto"/>
          <w:sz w:val="22"/>
          <w:szCs w:val="22"/>
        </w:rPr>
        <w:id w:val="1930694412"/>
        <w:docPartObj>
          <w:docPartGallery w:val="Table of Contents"/>
          <w:docPartUnique/>
        </w:docPartObj>
      </w:sdtPr>
      <w:sdtEndPr>
        <w:rPr>
          <w:b/>
          <w:bCs/>
          <w:noProof/>
        </w:rPr>
      </w:sdtEndPr>
      <w:sdtContent>
        <w:p w14:paraId="3FB0A3AA" w14:textId="4D791793" w:rsidR="00D3567D" w:rsidRPr="001D253C" w:rsidRDefault="00D3567D">
          <w:pPr>
            <w:pStyle w:val="TOCHeading"/>
            <w:rPr>
              <w:rFonts w:asciiTheme="minorHAnsi" w:hAnsiTheme="minorHAnsi" w:cstheme="minorHAnsi"/>
              <w:sz w:val="22"/>
              <w:szCs w:val="22"/>
            </w:rPr>
          </w:pPr>
          <w:r w:rsidRPr="001D253C">
            <w:rPr>
              <w:rFonts w:asciiTheme="minorHAnsi" w:hAnsiTheme="minorHAnsi" w:cstheme="minorHAnsi"/>
              <w:sz w:val="22"/>
              <w:szCs w:val="22"/>
            </w:rPr>
            <w:t>Contents</w:t>
          </w:r>
        </w:p>
        <w:p w14:paraId="3F00649B" w14:textId="3E304EB7" w:rsidR="00CF2B36" w:rsidRDefault="00667513">
          <w:pPr>
            <w:pStyle w:val="TOC1"/>
            <w:tabs>
              <w:tab w:val="right" w:leader="dot" w:pos="9350"/>
            </w:tabs>
            <w:rPr>
              <w:rFonts w:eastAsiaTheme="minorEastAsia" w:cstheme="minorBidi"/>
              <w:b w:val="0"/>
              <w:bCs w:val="0"/>
              <w:caps w:val="0"/>
              <w:noProof/>
              <w:kern w:val="2"/>
              <w:sz w:val="24"/>
              <w:szCs w:val="24"/>
              <w14:ligatures w14:val="standardContextual"/>
            </w:rPr>
          </w:pPr>
          <w:r w:rsidRPr="001D253C">
            <w:rPr>
              <w:b w:val="0"/>
              <w:bCs w:val="0"/>
              <w:caps w:val="0"/>
              <w:sz w:val="22"/>
              <w:szCs w:val="22"/>
            </w:rPr>
            <w:fldChar w:fldCharType="begin"/>
          </w:r>
          <w:r w:rsidRPr="001D253C">
            <w:rPr>
              <w:b w:val="0"/>
              <w:bCs w:val="0"/>
              <w:caps w:val="0"/>
              <w:sz w:val="22"/>
              <w:szCs w:val="22"/>
            </w:rPr>
            <w:instrText xml:space="preserve"> TOC \o "1-3" \h \z \u </w:instrText>
          </w:r>
          <w:r w:rsidRPr="001D253C">
            <w:rPr>
              <w:b w:val="0"/>
              <w:bCs w:val="0"/>
              <w:caps w:val="0"/>
              <w:sz w:val="22"/>
              <w:szCs w:val="22"/>
            </w:rPr>
            <w:fldChar w:fldCharType="separate"/>
          </w:r>
          <w:hyperlink w:anchor="_Toc179189528" w:history="1">
            <w:r w:rsidR="00CF2B36" w:rsidRPr="00A11D36">
              <w:rPr>
                <w:rStyle w:val="Hyperlink"/>
                <w:noProof/>
              </w:rPr>
              <w:t>CHAPTER 5: VWP PERMIT PROGRAM NON-CONTROVERSIAL INDIVIDUAL PERMITS</w:t>
            </w:r>
            <w:r w:rsidR="00CF2B36">
              <w:rPr>
                <w:noProof/>
                <w:webHidden/>
              </w:rPr>
              <w:tab/>
            </w:r>
            <w:r w:rsidR="00CF2B36">
              <w:rPr>
                <w:noProof/>
                <w:webHidden/>
              </w:rPr>
              <w:fldChar w:fldCharType="begin"/>
            </w:r>
            <w:r w:rsidR="00CF2B36">
              <w:rPr>
                <w:noProof/>
                <w:webHidden/>
              </w:rPr>
              <w:instrText xml:space="preserve"> PAGEREF _Toc179189528 \h </w:instrText>
            </w:r>
            <w:r w:rsidR="00CF2B36">
              <w:rPr>
                <w:noProof/>
                <w:webHidden/>
              </w:rPr>
            </w:r>
            <w:r w:rsidR="00CF2B36">
              <w:rPr>
                <w:noProof/>
                <w:webHidden/>
              </w:rPr>
              <w:fldChar w:fldCharType="separate"/>
            </w:r>
            <w:r w:rsidR="00CF2B36">
              <w:rPr>
                <w:noProof/>
                <w:webHidden/>
              </w:rPr>
              <w:t>2</w:t>
            </w:r>
            <w:r w:rsidR="00CF2B36">
              <w:rPr>
                <w:noProof/>
                <w:webHidden/>
              </w:rPr>
              <w:fldChar w:fldCharType="end"/>
            </w:r>
          </w:hyperlink>
        </w:p>
        <w:p w14:paraId="0D205B57" w14:textId="146400B4"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29" w:history="1">
            <w:r w:rsidR="00CF2B36" w:rsidRPr="00A11D36">
              <w:rPr>
                <w:rStyle w:val="Hyperlink"/>
                <w:noProof/>
              </w:rPr>
              <w:t>5.1 Applicable Provisions</w:t>
            </w:r>
            <w:r w:rsidR="00CF2B36">
              <w:rPr>
                <w:noProof/>
                <w:webHidden/>
              </w:rPr>
              <w:tab/>
            </w:r>
            <w:r w:rsidR="00CF2B36">
              <w:rPr>
                <w:noProof/>
                <w:webHidden/>
              </w:rPr>
              <w:fldChar w:fldCharType="begin"/>
            </w:r>
            <w:r w:rsidR="00CF2B36">
              <w:rPr>
                <w:noProof/>
                <w:webHidden/>
              </w:rPr>
              <w:instrText xml:space="preserve"> PAGEREF _Toc179189529 \h </w:instrText>
            </w:r>
            <w:r w:rsidR="00CF2B36">
              <w:rPr>
                <w:noProof/>
                <w:webHidden/>
              </w:rPr>
            </w:r>
            <w:r w:rsidR="00CF2B36">
              <w:rPr>
                <w:noProof/>
                <w:webHidden/>
              </w:rPr>
              <w:fldChar w:fldCharType="separate"/>
            </w:r>
            <w:r w:rsidR="00CF2B36">
              <w:rPr>
                <w:noProof/>
                <w:webHidden/>
              </w:rPr>
              <w:t>2</w:t>
            </w:r>
            <w:r w:rsidR="00CF2B36">
              <w:rPr>
                <w:noProof/>
                <w:webHidden/>
              </w:rPr>
              <w:fldChar w:fldCharType="end"/>
            </w:r>
          </w:hyperlink>
        </w:p>
        <w:p w14:paraId="2D5CC198" w14:textId="0ED94B68"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30" w:history="1">
            <w:r w:rsidR="00CF2B36" w:rsidRPr="00A11D36">
              <w:rPr>
                <w:rStyle w:val="Hyperlink"/>
                <w:noProof/>
              </w:rPr>
              <w:t>5.2 Stepwise Individual Permit Review Process</w:t>
            </w:r>
            <w:r w:rsidR="00CF2B36">
              <w:rPr>
                <w:noProof/>
                <w:webHidden/>
              </w:rPr>
              <w:tab/>
            </w:r>
            <w:r w:rsidR="00CF2B36">
              <w:rPr>
                <w:noProof/>
                <w:webHidden/>
              </w:rPr>
              <w:fldChar w:fldCharType="begin"/>
            </w:r>
            <w:r w:rsidR="00CF2B36">
              <w:rPr>
                <w:noProof/>
                <w:webHidden/>
              </w:rPr>
              <w:instrText xml:space="preserve"> PAGEREF _Toc179189530 \h </w:instrText>
            </w:r>
            <w:r w:rsidR="00CF2B36">
              <w:rPr>
                <w:noProof/>
                <w:webHidden/>
              </w:rPr>
            </w:r>
            <w:r w:rsidR="00CF2B36">
              <w:rPr>
                <w:noProof/>
                <w:webHidden/>
              </w:rPr>
              <w:fldChar w:fldCharType="separate"/>
            </w:r>
            <w:r w:rsidR="00CF2B36">
              <w:rPr>
                <w:noProof/>
                <w:webHidden/>
              </w:rPr>
              <w:t>3</w:t>
            </w:r>
            <w:r w:rsidR="00CF2B36">
              <w:rPr>
                <w:noProof/>
                <w:webHidden/>
              </w:rPr>
              <w:fldChar w:fldCharType="end"/>
            </w:r>
          </w:hyperlink>
        </w:p>
        <w:p w14:paraId="5A7BA568" w14:textId="6106F4BD"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31" w:history="1">
            <w:r w:rsidR="00CF2B36" w:rsidRPr="00A11D36">
              <w:rPr>
                <w:rStyle w:val="Hyperlink"/>
                <w:noProof/>
              </w:rPr>
              <w:t>5.3 Individual Permit Applicability</w:t>
            </w:r>
            <w:r w:rsidR="00CF2B36">
              <w:rPr>
                <w:noProof/>
                <w:webHidden/>
              </w:rPr>
              <w:tab/>
            </w:r>
            <w:r w:rsidR="00CF2B36">
              <w:rPr>
                <w:noProof/>
                <w:webHidden/>
              </w:rPr>
              <w:fldChar w:fldCharType="begin"/>
            </w:r>
            <w:r w:rsidR="00CF2B36">
              <w:rPr>
                <w:noProof/>
                <w:webHidden/>
              </w:rPr>
              <w:instrText xml:space="preserve"> PAGEREF _Toc179189531 \h </w:instrText>
            </w:r>
            <w:r w:rsidR="00CF2B36">
              <w:rPr>
                <w:noProof/>
                <w:webHidden/>
              </w:rPr>
            </w:r>
            <w:r w:rsidR="00CF2B36">
              <w:rPr>
                <w:noProof/>
                <w:webHidden/>
              </w:rPr>
              <w:fldChar w:fldCharType="separate"/>
            </w:r>
            <w:r w:rsidR="00CF2B36">
              <w:rPr>
                <w:noProof/>
                <w:webHidden/>
              </w:rPr>
              <w:t>7</w:t>
            </w:r>
            <w:r w:rsidR="00CF2B36">
              <w:rPr>
                <w:noProof/>
                <w:webHidden/>
              </w:rPr>
              <w:fldChar w:fldCharType="end"/>
            </w:r>
          </w:hyperlink>
        </w:p>
        <w:p w14:paraId="548561AB" w14:textId="4994E691"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32" w:history="1">
            <w:r w:rsidR="00CF2B36" w:rsidRPr="00A11D36">
              <w:rPr>
                <w:rStyle w:val="Hyperlink"/>
                <w:noProof/>
              </w:rPr>
              <w:t>5.4 Joint Permit Application Review</w:t>
            </w:r>
            <w:r w:rsidR="00CF2B36">
              <w:rPr>
                <w:noProof/>
                <w:webHidden/>
              </w:rPr>
              <w:tab/>
            </w:r>
            <w:r w:rsidR="00CF2B36">
              <w:rPr>
                <w:noProof/>
                <w:webHidden/>
              </w:rPr>
              <w:fldChar w:fldCharType="begin"/>
            </w:r>
            <w:r w:rsidR="00CF2B36">
              <w:rPr>
                <w:noProof/>
                <w:webHidden/>
              </w:rPr>
              <w:instrText xml:space="preserve"> PAGEREF _Toc179189532 \h </w:instrText>
            </w:r>
            <w:r w:rsidR="00CF2B36">
              <w:rPr>
                <w:noProof/>
                <w:webHidden/>
              </w:rPr>
            </w:r>
            <w:r w:rsidR="00CF2B36">
              <w:rPr>
                <w:noProof/>
                <w:webHidden/>
              </w:rPr>
              <w:fldChar w:fldCharType="separate"/>
            </w:r>
            <w:r w:rsidR="00CF2B36">
              <w:rPr>
                <w:noProof/>
                <w:webHidden/>
              </w:rPr>
              <w:t>7</w:t>
            </w:r>
            <w:r w:rsidR="00CF2B36">
              <w:rPr>
                <w:noProof/>
                <w:webHidden/>
              </w:rPr>
              <w:fldChar w:fldCharType="end"/>
            </w:r>
          </w:hyperlink>
        </w:p>
        <w:p w14:paraId="1C00C3A0" w14:textId="7511594D"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33" w:history="1">
            <w:r w:rsidR="00CF2B36" w:rsidRPr="00A11D36">
              <w:rPr>
                <w:rStyle w:val="Hyperlink"/>
                <w:noProof/>
              </w:rPr>
              <w:t>5.4.1 Determining the Application Fee</w:t>
            </w:r>
            <w:r w:rsidR="00CF2B36">
              <w:rPr>
                <w:noProof/>
                <w:webHidden/>
              </w:rPr>
              <w:tab/>
            </w:r>
            <w:r w:rsidR="00CF2B36">
              <w:rPr>
                <w:noProof/>
                <w:webHidden/>
              </w:rPr>
              <w:fldChar w:fldCharType="begin"/>
            </w:r>
            <w:r w:rsidR="00CF2B36">
              <w:rPr>
                <w:noProof/>
                <w:webHidden/>
              </w:rPr>
              <w:instrText xml:space="preserve"> PAGEREF _Toc179189533 \h </w:instrText>
            </w:r>
            <w:r w:rsidR="00CF2B36">
              <w:rPr>
                <w:noProof/>
                <w:webHidden/>
              </w:rPr>
            </w:r>
            <w:r w:rsidR="00CF2B36">
              <w:rPr>
                <w:noProof/>
                <w:webHidden/>
              </w:rPr>
              <w:fldChar w:fldCharType="separate"/>
            </w:r>
            <w:r w:rsidR="00CF2B36">
              <w:rPr>
                <w:noProof/>
                <w:webHidden/>
              </w:rPr>
              <w:t>8</w:t>
            </w:r>
            <w:r w:rsidR="00CF2B36">
              <w:rPr>
                <w:noProof/>
                <w:webHidden/>
              </w:rPr>
              <w:fldChar w:fldCharType="end"/>
            </w:r>
          </w:hyperlink>
        </w:p>
        <w:p w14:paraId="645D972E" w14:textId="5D174CCC"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34" w:history="1">
            <w:r w:rsidR="00CF2B36" w:rsidRPr="00A11D36">
              <w:rPr>
                <w:rStyle w:val="Hyperlink"/>
                <w:noProof/>
              </w:rPr>
              <w:t>5.4.2 Avoidance and Minimization</w:t>
            </w:r>
            <w:r w:rsidR="00CF2B36">
              <w:rPr>
                <w:noProof/>
                <w:webHidden/>
              </w:rPr>
              <w:tab/>
            </w:r>
            <w:r w:rsidR="00CF2B36">
              <w:rPr>
                <w:noProof/>
                <w:webHidden/>
              </w:rPr>
              <w:fldChar w:fldCharType="begin"/>
            </w:r>
            <w:r w:rsidR="00CF2B36">
              <w:rPr>
                <w:noProof/>
                <w:webHidden/>
              </w:rPr>
              <w:instrText xml:space="preserve"> PAGEREF _Toc179189534 \h </w:instrText>
            </w:r>
            <w:r w:rsidR="00CF2B36">
              <w:rPr>
                <w:noProof/>
                <w:webHidden/>
              </w:rPr>
            </w:r>
            <w:r w:rsidR="00CF2B36">
              <w:rPr>
                <w:noProof/>
                <w:webHidden/>
              </w:rPr>
              <w:fldChar w:fldCharType="separate"/>
            </w:r>
            <w:r w:rsidR="00CF2B36">
              <w:rPr>
                <w:noProof/>
                <w:webHidden/>
              </w:rPr>
              <w:t>8</w:t>
            </w:r>
            <w:r w:rsidR="00CF2B36">
              <w:rPr>
                <w:noProof/>
                <w:webHidden/>
              </w:rPr>
              <w:fldChar w:fldCharType="end"/>
            </w:r>
          </w:hyperlink>
        </w:p>
        <w:p w14:paraId="757DB98B" w14:textId="05E9ACF6"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35" w:history="1">
            <w:r w:rsidR="00CF2B36" w:rsidRPr="00A11D36">
              <w:rPr>
                <w:rStyle w:val="Hyperlink"/>
                <w:noProof/>
              </w:rPr>
              <w:t>5.4.3 Compensation</w:t>
            </w:r>
            <w:r w:rsidR="00CF2B36">
              <w:rPr>
                <w:noProof/>
                <w:webHidden/>
              </w:rPr>
              <w:tab/>
            </w:r>
            <w:r w:rsidR="00CF2B36">
              <w:rPr>
                <w:noProof/>
                <w:webHidden/>
              </w:rPr>
              <w:fldChar w:fldCharType="begin"/>
            </w:r>
            <w:r w:rsidR="00CF2B36">
              <w:rPr>
                <w:noProof/>
                <w:webHidden/>
              </w:rPr>
              <w:instrText xml:space="preserve"> PAGEREF _Toc179189535 \h </w:instrText>
            </w:r>
            <w:r w:rsidR="00CF2B36">
              <w:rPr>
                <w:noProof/>
                <w:webHidden/>
              </w:rPr>
            </w:r>
            <w:r w:rsidR="00CF2B36">
              <w:rPr>
                <w:noProof/>
                <w:webHidden/>
              </w:rPr>
              <w:fldChar w:fldCharType="separate"/>
            </w:r>
            <w:r w:rsidR="00CF2B36">
              <w:rPr>
                <w:noProof/>
                <w:webHidden/>
              </w:rPr>
              <w:t>8</w:t>
            </w:r>
            <w:r w:rsidR="00CF2B36">
              <w:rPr>
                <w:noProof/>
                <w:webHidden/>
              </w:rPr>
              <w:fldChar w:fldCharType="end"/>
            </w:r>
          </w:hyperlink>
        </w:p>
        <w:p w14:paraId="7343F0AB" w14:textId="53933FDD"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36" w:history="1">
            <w:r w:rsidR="00CF2B36" w:rsidRPr="00A11D36">
              <w:rPr>
                <w:rStyle w:val="Hyperlink"/>
                <w:noProof/>
              </w:rPr>
              <w:t>5.4.4 Site Visit</w:t>
            </w:r>
            <w:r w:rsidR="00CF2B36">
              <w:rPr>
                <w:noProof/>
                <w:webHidden/>
              </w:rPr>
              <w:tab/>
            </w:r>
            <w:r w:rsidR="00CF2B36">
              <w:rPr>
                <w:noProof/>
                <w:webHidden/>
              </w:rPr>
              <w:fldChar w:fldCharType="begin"/>
            </w:r>
            <w:r w:rsidR="00CF2B36">
              <w:rPr>
                <w:noProof/>
                <w:webHidden/>
              </w:rPr>
              <w:instrText xml:space="preserve"> PAGEREF _Toc179189536 \h </w:instrText>
            </w:r>
            <w:r w:rsidR="00CF2B36">
              <w:rPr>
                <w:noProof/>
                <w:webHidden/>
              </w:rPr>
            </w:r>
            <w:r w:rsidR="00CF2B36">
              <w:rPr>
                <w:noProof/>
                <w:webHidden/>
              </w:rPr>
              <w:fldChar w:fldCharType="separate"/>
            </w:r>
            <w:r w:rsidR="00CF2B36">
              <w:rPr>
                <w:noProof/>
                <w:webHidden/>
              </w:rPr>
              <w:t>8</w:t>
            </w:r>
            <w:r w:rsidR="00CF2B36">
              <w:rPr>
                <w:noProof/>
                <w:webHidden/>
              </w:rPr>
              <w:fldChar w:fldCharType="end"/>
            </w:r>
          </w:hyperlink>
        </w:p>
        <w:p w14:paraId="1074D4F9" w14:textId="7A6B8DDE"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37" w:history="1">
            <w:r w:rsidR="00CF2B36" w:rsidRPr="00A11D36">
              <w:rPr>
                <w:rStyle w:val="Hyperlink"/>
                <w:noProof/>
              </w:rPr>
              <w:t>5.5 Local Government Notification</w:t>
            </w:r>
            <w:r w:rsidR="00CF2B36">
              <w:rPr>
                <w:noProof/>
                <w:webHidden/>
              </w:rPr>
              <w:tab/>
            </w:r>
            <w:r w:rsidR="00CF2B36">
              <w:rPr>
                <w:noProof/>
                <w:webHidden/>
              </w:rPr>
              <w:fldChar w:fldCharType="begin"/>
            </w:r>
            <w:r w:rsidR="00CF2B36">
              <w:rPr>
                <w:noProof/>
                <w:webHidden/>
              </w:rPr>
              <w:instrText xml:space="preserve"> PAGEREF _Toc179189537 \h </w:instrText>
            </w:r>
            <w:r w:rsidR="00CF2B36">
              <w:rPr>
                <w:noProof/>
                <w:webHidden/>
              </w:rPr>
            </w:r>
            <w:r w:rsidR="00CF2B36">
              <w:rPr>
                <w:noProof/>
                <w:webHidden/>
              </w:rPr>
              <w:fldChar w:fldCharType="separate"/>
            </w:r>
            <w:r w:rsidR="00CF2B36">
              <w:rPr>
                <w:noProof/>
                <w:webHidden/>
              </w:rPr>
              <w:t>8</w:t>
            </w:r>
            <w:r w:rsidR="00CF2B36">
              <w:rPr>
                <w:noProof/>
                <w:webHidden/>
              </w:rPr>
              <w:fldChar w:fldCharType="end"/>
            </w:r>
          </w:hyperlink>
        </w:p>
        <w:p w14:paraId="6D1B09E1" w14:textId="477F6227"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38" w:history="1">
            <w:r w:rsidR="00CF2B36" w:rsidRPr="00A11D36">
              <w:rPr>
                <w:rStyle w:val="Hyperlink"/>
                <w:noProof/>
              </w:rPr>
              <w:t>5.6 Riparian Property Owner Notification</w:t>
            </w:r>
            <w:r w:rsidR="00CF2B36">
              <w:rPr>
                <w:noProof/>
                <w:webHidden/>
              </w:rPr>
              <w:tab/>
            </w:r>
            <w:r w:rsidR="00CF2B36">
              <w:rPr>
                <w:noProof/>
                <w:webHidden/>
              </w:rPr>
              <w:fldChar w:fldCharType="begin"/>
            </w:r>
            <w:r w:rsidR="00CF2B36">
              <w:rPr>
                <w:noProof/>
                <w:webHidden/>
              </w:rPr>
              <w:instrText xml:space="preserve"> PAGEREF _Toc179189538 \h </w:instrText>
            </w:r>
            <w:r w:rsidR="00CF2B36">
              <w:rPr>
                <w:noProof/>
                <w:webHidden/>
              </w:rPr>
            </w:r>
            <w:r w:rsidR="00CF2B36">
              <w:rPr>
                <w:noProof/>
                <w:webHidden/>
              </w:rPr>
              <w:fldChar w:fldCharType="separate"/>
            </w:r>
            <w:r w:rsidR="00CF2B36">
              <w:rPr>
                <w:noProof/>
                <w:webHidden/>
              </w:rPr>
              <w:t>9</w:t>
            </w:r>
            <w:r w:rsidR="00CF2B36">
              <w:rPr>
                <w:noProof/>
                <w:webHidden/>
              </w:rPr>
              <w:fldChar w:fldCharType="end"/>
            </w:r>
          </w:hyperlink>
        </w:p>
        <w:p w14:paraId="4156EA22" w14:textId="005167AA"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39" w:history="1">
            <w:r w:rsidR="00CF2B36" w:rsidRPr="00A11D36">
              <w:rPr>
                <w:rStyle w:val="Hyperlink"/>
                <w:noProof/>
              </w:rPr>
              <w:t>5.6.1 Notification Requirements</w:t>
            </w:r>
            <w:r w:rsidR="00CF2B36">
              <w:rPr>
                <w:noProof/>
                <w:webHidden/>
              </w:rPr>
              <w:tab/>
            </w:r>
            <w:r w:rsidR="00CF2B36">
              <w:rPr>
                <w:noProof/>
                <w:webHidden/>
              </w:rPr>
              <w:fldChar w:fldCharType="begin"/>
            </w:r>
            <w:r w:rsidR="00CF2B36">
              <w:rPr>
                <w:noProof/>
                <w:webHidden/>
              </w:rPr>
              <w:instrText xml:space="preserve"> PAGEREF _Toc179189539 \h </w:instrText>
            </w:r>
            <w:r w:rsidR="00CF2B36">
              <w:rPr>
                <w:noProof/>
                <w:webHidden/>
              </w:rPr>
            </w:r>
            <w:r w:rsidR="00CF2B36">
              <w:rPr>
                <w:noProof/>
                <w:webHidden/>
              </w:rPr>
              <w:fldChar w:fldCharType="separate"/>
            </w:r>
            <w:r w:rsidR="00CF2B36">
              <w:rPr>
                <w:noProof/>
                <w:webHidden/>
              </w:rPr>
              <w:t>9</w:t>
            </w:r>
            <w:r w:rsidR="00CF2B36">
              <w:rPr>
                <w:noProof/>
                <w:webHidden/>
              </w:rPr>
              <w:fldChar w:fldCharType="end"/>
            </w:r>
          </w:hyperlink>
        </w:p>
        <w:p w14:paraId="3E60FBAF" w14:textId="65E5CCB4"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0" w:history="1">
            <w:r w:rsidR="00CF2B36" w:rsidRPr="00A11D36">
              <w:rPr>
                <w:rStyle w:val="Hyperlink"/>
                <w:noProof/>
              </w:rPr>
              <w:t>5.6.2 Notification Procedures</w:t>
            </w:r>
            <w:r w:rsidR="00CF2B36">
              <w:rPr>
                <w:noProof/>
                <w:webHidden/>
              </w:rPr>
              <w:tab/>
            </w:r>
            <w:r w:rsidR="00CF2B36">
              <w:rPr>
                <w:noProof/>
                <w:webHidden/>
              </w:rPr>
              <w:fldChar w:fldCharType="begin"/>
            </w:r>
            <w:r w:rsidR="00CF2B36">
              <w:rPr>
                <w:noProof/>
                <w:webHidden/>
              </w:rPr>
              <w:instrText xml:space="preserve"> PAGEREF _Toc179189540 \h </w:instrText>
            </w:r>
            <w:r w:rsidR="00CF2B36">
              <w:rPr>
                <w:noProof/>
                <w:webHidden/>
              </w:rPr>
            </w:r>
            <w:r w:rsidR="00CF2B36">
              <w:rPr>
                <w:noProof/>
                <w:webHidden/>
              </w:rPr>
              <w:fldChar w:fldCharType="separate"/>
            </w:r>
            <w:r w:rsidR="00CF2B36">
              <w:rPr>
                <w:noProof/>
                <w:webHidden/>
              </w:rPr>
              <w:t>11</w:t>
            </w:r>
            <w:r w:rsidR="00CF2B36">
              <w:rPr>
                <w:noProof/>
                <w:webHidden/>
              </w:rPr>
              <w:fldChar w:fldCharType="end"/>
            </w:r>
          </w:hyperlink>
        </w:p>
        <w:p w14:paraId="29A4408B" w14:textId="63B1E57D"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41" w:history="1">
            <w:r w:rsidR="00CF2B36" w:rsidRPr="00A11D36">
              <w:rPr>
                <w:rStyle w:val="Hyperlink"/>
                <w:noProof/>
              </w:rPr>
              <w:t>5.7 State and Federal Resource Agency Coordination</w:t>
            </w:r>
            <w:r w:rsidR="00CF2B36">
              <w:rPr>
                <w:noProof/>
                <w:webHidden/>
              </w:rPr>
              <w:tab/>
            </w:r>
            <w:r w:rsidR="00CF2B36">
              <w:rPr>
                <w:noProof/>
                <w:webHidden/>
              </w:rPr>
              <w:fldChar w:fldCharType="begin"/>
            </w:r>
            <w:r w:rsidR="00CF2B36">
              <w:rPr>
                <w:noProof/>
                <w:webHidden/>
              </w:rPr>
              <w:instrText xml:space="preserve"> PAGEREF _Toc179189541 \h </w:instrText>
            </w:r>
            <w:r w:rsidR="00CF2B36">
              <w:rPr>
                <w:noProof/>
                <w:webHidden/>
              </w:rPr>
            </w:r>
            <w:r w:rsidR="00CF2B36">
              <w:rPr>
                <w:noProof/>
                <w:webHidden/>
              </w:rPr>
              <w:fldChar w:fldCharType="separate"/>
            </w:r>
            <w:r w:rsidR="00CF2B36">
              <w:rPr>
                <w:noProof/>
                <w:webHidden/>
              </w:rPr>
              <w:t>12</w:t>
            </w:r>
            <w:r w:rsidR="00CF2B36">
              <w:rPr>
                <w:noProof/>
                <w:webHidden/>
              </w:rPr>
              <w:fldChar w:fldCharType="end"/>
            </w:r>
          </w:hyperlink>
        </w:p>
        <w:p w14:paraId="1D4CD16A" w14:textId="767C8D7E"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2" w:history="1">
            <w:r w:rsidR="00CF2B36" w:rsidRPr="00A11D36">
              <w:rPr>
                <w:rStyle w:val="Hyperlink"/>
                <w:noProof/>
              </w:rPr>
              <w:t>5.7.1 Coordination with State Resource Agencies</w:t>
            </w:r>
            <w:r w:rsidR="00CF2B36">
              <w:rPr>
                <w:noProof/>
                <w:webHidden/>
              </w:rPr>
              <w:tab/>
            </w:r>
            <w:r w:rsidR="00CF2B36">
              <w:rPr>
                <w:noProof/>
                <w:webHidden/>
              </w:rPr>
              <w:fldChar w:fldCharType="begin"/>
            </w:r>
            <w:r w:rsidR="00CF2B36">
              <w:rPr>
                <w:noProof/>
                <w:webHidden/>
              </w:rPr>
              <w:instrText xml:space="preserve"> PAGEREF _Toc179189542 \h </w:instrText>
            </w:r>
            <w:r w:rsidR="00CF2B36">
              <w:rPr>
                <w:noProof/>
                <w:webHidden/>
              </w:rPr>
            </w:r>
            <w:r w:rsidR="00CF2B36">
              <w:rPr>
                <w:noProof/>
                <w:webHidden/>
              </w:rPr>
              <w:fldChar w:fldCharType="separate"/>
            </w:r>
            <w:r w:rsidR="00CF2B36">
              <w:rPr>
                <w:noProof/>
                <w:webHidden/>
              </w:rPr>
              <w:t>12</w:t>
            </w:r>
            <w:r w:rsidR="00CF2B36">
              <w:rPr>
                <w:noProof/>
                <w:webHidden/>
              </w:rPr>
              <w:fldChar w:fldCharType="end"/>
            </w:r>
          </w:hyperlink>
        </w:p>
        <w:p w14:paraId="270A9CD6" w14:textId="406731C5"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3" w:history="1">
            <w:r w:rsidR="00CF2B36" w:rsidRPr="00A11D36">
              <w:rPr>
                <w:rStyle w:val="Hyperlink"/>
                <w:noProof/>
              </w:rPr>
              <w:t>5.7.2 Coordination with Federal Agencies</w:t>
            </w:r>
            <w:r w:rsidR="00CF2B36">
              <w:rPr>
                <w:noProof/>
                <w:webHidden/>
              </w:rPr>
              <w:tab/>
            </w:r>
            <w:r w:rsidR="00CF2B36">
              <w:rPr>
                <w:noProof/>
                <w:webHidden/>
              </w:rPr>
              <w:fldChar w:fldCharType="begin"/>
            </w:r>
            <w:r w:rsidR="00CF2B36">
              <w:rPr>
                <w:noProof/>
                <w:webHidden/>
              </w:rPr>
              <w:instrText xml:space="preserve"> PAGEREF _Toc179189543 \h </w:instrText>
            </w:r>
            <w:r w:rsidR="00CF2B36">
              <w:rPr>
                <w:noProof/>
                <w:webHidden/>
              </w:rPr>
            </w:r>
            <w:r w:rsidR="00CF2B36">
              <w:rPr>
                <w:noProof/>
                <w:webHidden/>
              </w:rPr>
              <w:fldChar w:fldCharType="separate"/>
            </w:r>
            <w:r w:rsidR="00CF2B36">
              <w:rPr>
                <w:noProof/>
                <w:webHidden/>
              </w:rPr>
              <w:t>14</w:t>
            </w:r>
            <w:r w:rsidR="00CF2B36">
              <w:rPr>
                <w:noProof/>
                <w:webHidden/>
              </w:rPr>
              <w:fldChar w:fldCharType="end"/>
            </w:r>
          </w:hyperlink>
        </w:p>
        <w:p w14:paraId="5D2F829A" w14:textId="7BE28D40"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44" w:history="1">
            <w:r w:rsidR="00CF2B36" w:rsidRPr="00A11D36">
              <w:rPr>
                <w:rStyle w:val="Hyperlink"/>
                <w:noProof/>
              </w:rPr>
              <w:t>5.8 Draft Permit</w:t>
            </w:r>
            <w:r w:rsidR="00CF2B36">
              <w:rPr>
                <w:noProof/>
                <w:webHidden/>
              </w:rPr>
              <w:tab/>
            </w:r>
            <w:r w:rsidR="00CF2B36">
              <w:rPr>
                <w:noProof/>
                <w:webHidden/>
              </w:rPr>
              <w:fldChar w:fldCharType="begin"/>
            </w:r>
            <w:r w:rsidR="00CF2B36">
              <w:rPr>
                <w:noProof/>
                <w:webHidden/>
              </w:rPr>
              <w:instrText xml:space="preserve"> PAGEREF _Toc179189544 \h </w:instrText>
            </w:r>
            <w:r w:rsidR="00CF2B36">
              <w:rPr>
                <w:noProof/>
                <w:webHidden/>
              </w:rPr>
            </w:r>
            <w:r w:rsidR="00CF2B36">
              <w:rPr>
                <w:noProof/>
                <w:webHidden/>
              </w:rPr>
              <w:fldChar w:fldCharType="separate"/>
            </w:r>
            <w:r w:rsidR="00CF2B36">
              <w:rPr>
                <w:noProof/>
                <w:webHidden/>
              </w:rPr>
              <w:t>14</w:t>
            </w:r>
            <w:r w:rsidR="00CF2B36">
              <w:rPr>
                <w:noProof/>
                <w:webHidden/>
              </w:rPr>
              <w:fldChar w:fldCharType="end"/>
            </w:r>
          </w:hyperlink>
        </w:p>
        <w:p w14:paraId="02B22504" w14:textId="285D7C3F"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5" w:history="1">
            <w:r w:rsidR="00CF2B36" w:rsidRPr="00A11D36">
              <w:rPr>
                <w:rStyle w:val="Hyperlink"/>
                <w:noProof/>
              </w:rPr>
              <w:t>5.8.1 Fact Sheet</w:t>
            </w:r>
            <w:r w:rsidR="00CF2B36">
              <w:rPr>
                <w:noProof/>
                <w:webHidden/>
              </w:rPr>
              <w:tab/>
            </w:r>
            <w:r w:rsidR="00CF2B36">
              <w:rPr>
                <w:noProof/>
                <w:webHidden/>
              </w:rPr>
              <w:fldChar w:fldCharType="begin"/>
            </w:r>
            <w:r w:rsidR="00CF2B36">
              <w:rPr>
                <w:noProof/>
                <w:webHidden/>
              </w:rPr>
              <w:instrText xml:space="preserve"> PAGEREF _Toc179189545 \h </w:instrText>
            </w:r>
            <w:r w:rsidR="00CF2B36">
              <w:rPr>
                <w:noProof/>
                <w:webHidden/>
              </w:rPr>
            </w:r>
            <w:r w:rsidR="00CF2B36">
              <w:rPr>
                <w:noProof/>
                <w:webHidden/>
              </w:rPr>
              <w:fldChar w:fldCharType="separate"/>
            </w:r>
            <w:r w:rsidR="00CF2B36">
              <w:rPr>
                <w:noProof/>
                <w:webHidden/>
              </w:rPr>
              <w:t>15</w:t>
            </w:r>
            <w:r w:rsidR="00CF2B36">
              <w:rPr>
                <w:noProof/>
                <w:webHidden/>
              </w:rPr>
              <w:fldChar w:fldCharType="end"/>
            </w:r>
          </w:hyperlink>
        </w:p>
        <w:p w14:paraId="0742C07B" w14:textId="306AF4A0"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6" w:history="1">
            <w:r w:rsidR="00CF2B36" w:rsidRPr="00A11D36">
              <w:rPr>
                <w:rStyle w:val="Hyperlink"/>
                <w:noProof/>
              </w:rPr>
              <w:t>5.8.2 Permit Cover Page</w:t>
            </w:r>
            <w:r w:rsidR="00CF2B36">
              <w:rPr>
                <w:noProof/>
                <w:webHidden/>
              </w:rPr>
              <w:tab/>
            </w:r>
            <w:r w:rsidR="00CF2B36">
              <w:rPr>
                <w:noProof/>
                <w:webHidden/>
              </w:rPr>
              <w:fldChar w:fldCharType="begin"/>
            </w:r>
            <w:r w:rsidR="00CF2B36">
              <w:rPr>
                <w:noProof/>
                <w:webHidden/>
              </w:rPr>
              <w:instrText xml:space="preserve"> PAGEREF _Toc179189546 \h </w:instrText>
            </w:r>
            <w:r w:rsidR="00CF2B36">
              <w:rPr>
                <w:noProof/>
                <w:webHidden/>
              </w:rPr>
            </w:r>
            <w:r w:rsidR="00CF2B36">
              <w:rPr>
                <w:noProof/>
                <w:webHidden/>
              </w:rPr>
              <w:fldChar w:fldCharType="separate"/>
            </w:r>
            <w:r w:rsidR="00CF2B36">
              <w:rPr>
                <w:noProof/>
                <w:webHidden/>
              </w:rPr>
              <w:t>15</w:t>
            </w:r>
            <w:r w:rsidR="00CF2B36">
              <w:rPr>
                <w:noProof/>
                <w:webHidden/>
              </w:rPr>
              <w:fldChar w:fldCharType="end"/>
            </w:r>
          </w:hyperlink>
        </w:p>
        <w:p w14:paraId="26DEE0BD" w14:textId="43BCEA3F"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7" w:history="1">
            <w:r w:rsidR="00CF2B36" w:rsidRPr="00A11D36">
              <w:rPr>
                <w:rStyle w:val="Hyperlink"/>
                <w:noProof/>
              </w:rPr>
              <w:t>5.8.3 Part I – Special Conditions</w:t>
            </w:r>
            <w:r w:rsidR="00CF2B36">
              <w:rPr>
                <w:noProof/>
                <w:webHidden/>
              </w:rPr>
              <w:tab/>
            </w:r>
            <w:r w:rsidR="00CF2B36">
              <w:rPr>
                <w:noProof/>
                <w:webHidden/>
              </w:rPr>
              <w:fldChar w:fldCharType="begin"/>
            </w:r>
            <w:r w:rsidR="00CF2B36">
              <w:rPr>
                <w:noProof/>
                <w:webHidden/>
              </w:rPr>
              <w:instrText xml:space="preserve"> PAGEREF _Toc179189547 \h </w:instrText>
            </w:r>
            <w:r w:rsidR="00CF2B36">
              <w:rPr>
                <w:noProof/>
                <w:webHidden/>
              </w:rPr>
            </w:r>
            <w:r w:rsidR="00CF2B36">
              <w:rPr>
                <w:noProof/>
                <w:webHidden/>
              </w:rPr>
              <w:fldChar w:fldCharType="separate"/>
            </w:r>
            <w:r w:rsidR="00CF2B36">
              <w:rPr>
                <w:noProof/>
                <w:webHidden/>
              </w:rPr>
              <w:t>16</w:t>
            </w:r>
            <w:r w:rsidR="00CF2B36">
              <w:rPr>
                <w:noProof/>
                <w:webHidden/>
              </w:rPr>
              <w:fldChar w:fldCharType="end"/>
            </w:r>
          </w:hyperlink>
        </w:p>
        <w:p w14:paraId="4F608A04" w14:textId="1DEF80F4"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8" w:history="1">
            <w:r w:rsidR="00CF2B36" w:rsidRPr="00A11D36">
              <w:rPr>
                <w:rStyle w:val="Hyperlink"/>
                <w:noProof/>
              </w:rPr>
              <w:t>5.8.4 Part II – General Conditions</w:t>
            </w:r>
            <w:r w:rsidR="00CF2B36">
              <w:rPr>
                <w:noProof/>
                <w:webHidden/>
              </w:rPr>
              <w:tab/>
            </w:r>
            <w:r w:rsidR="00CF2B36">
              <w:rPr>
                <w:noProof/>
                <w:webHidden/>
              </w:rPr>
              <w:fldChar w:fldCharType="begin"/>
            </w:r>
            <w:r w:rsidR="00CF2B36">
              <w:rPr>
                <w:noProof/>
                <w:webHidden/>
              </w:rPr>
              <w:instrText xml:space="preserve"> PAGEREF _Toc179189548 \h </w:instrText>
            </w:r>
            <w:r w:rsidR="00CF2B36">
              <w:rPr>
                <w:noProof/>
                <w:webHidden/>
              </w:rPr>
            </w:r>
            <w:r w:rsidR="00CF2B36">
              <w:rPr>
                <w:noProof/>
                <w:webHidden/>
              </w:rPr>
              <w:fldChar w:fldCharType="separate"/>
            </w:r>
            <w:r w:rsidR="00CF2B36">
              <w:rPr>
                <w:noProof/>
                <w:webHidden/>
              </w:rPr>
              <w:t>16</w:t>
            </w:r>
            <w:r w:rsidR="00CF2B36">
              <w:rPr>
                <w:noProof/>
                <w:webHidden/>
              </w:rPr>
              <w:fldChar w:fldCharType="end"/>
            </w:r>
          </w:hyperlink>
        </w:p>
        <w:p w14:paraId="459BA477" w14:textId="4DE9F9B0"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49" w:history="1">
            <w:r w:rsidR="00CF2B36" w:rsidRPr="00A11D36">
              <w:rPr>
                <w:rStyle w:val="Hyperlink"/>
                <w:noProof/>
              </w:rPr>
              <w:t>5.8.5 Public Notice and Public Notice Verification Form</w:t>
            </w:r>
            <w:r w:rsidR="00CF2B36">
              <w:rPr>
                <w:noProof/>
                <w:webHidden/>
              </w:rPr>
              <w:tab/>
            </w:r>
            <w:r w:rsidR="00CF2B36">
              <w:rPr>
                <w:noProof/>
                <w:webHidden/>
              </w:rPr>
              <w:fldChar w:fldCharType="begin"/>
            </w:r>
            <w:r w:rsidR="00CF2B36">
              <w:rPr>
                <w:noProof/>
                <w:webHidden/>
              </w:rPr>
              <w:instrText xml:space="preserve"> PAGEREF _Toc179189549 \h </w:instrText>
            </w:r>
            <w:r w:rsidR="00CF2B36">
              <w:rPr>
                <w:noProof/>
                <w:webHidden/>
              </w:rPr>
            </w:r>
            <w:r w:rsidR="00CF2B36">
              <w:rPr>
                <w:noProof/>
                <w:webHidden/>
              </w:rPr>
              <w:fldChar w:fldCharType="separate"/>
            </w:r>
            <w:r w:rsidR="00CF2B36">
              <w:rPr>
                <w:noProof/>
                <w:webHidden/>
              </w:rPr>
              <w:t>16</w:t>
            </w:r>
            <w:r w:rsidR="00CF2B36">
              <w:rPr>
                <w:noProof/>
                <w:webHidden/>
              </w:rPr>
              <w:fldChar w:fldCharType="end"/>
            </w:r>
          </w:hyperlink>
        </w:p>
        <w:p w14:paraId="7F0145B0" w14:textId="716296F5"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0" w:history="1">
            <w:r w:rsidR="00CF2B36" w:rsidRPr="00A11D36">
              <w:rPr>
                <w:rStyle w:val="Hyperlink"/>
                <w:noProof/>
              </w:rPr>
              <w:t>5.8.6 Transmittal Letter for the Draft Individual Permit and Public Notice</w:t>
            </w:r>
            <w:r w:rsidR="00CF2B36">
              <w:rPr>
                <w:noProof/>
                <w:webHidden/>
              </w:rPr>
              <w:tab/>
            </w:r>
            <w:r w:rsidR="00CF2B36">
              <w:rPr>
                <w:noProof/>
                <w:webHidden/>
              </w:rPr>
              <w:fldChar w:fldCharType="begin"/>
            </w:r>
            <w:r w:rsidR="00CF2B36">
              <w:rPr>
                <w:noProof/>
                <w:webHidden/>
              </w:rPr>
              <w:instrText xml:space="preserve"> PAGEREF _Toc179189550 \h </w:instrText>
            </w:r>
            <w:r w:rsidR="00CF2B36">
              <w:rPr>
                <w:noProof/>
                <w:webHidden/>
              </w:rPr>
            </w:r>
            <w:r w:rsidR="00CF2B36">
              <w:rPr>
                <w:noProof/>
                <w:webHidden/>
              </w:rPr>
              <w:fldChar w:fldCharType="separate"/>
            </w:r>
            <w:r w:rsidR="00CF2B36">
              <w:rPr>
                <w:noProof/>
                <w:webHidden/>
              </w:rPr>
              <w:t>16</w:t>
            </w:r>
            <w:r w:rsidR="00CF2B36">
              <w:rPr>
                <w:noProof/>
                <w:webHidden/>
              </w:rPr>
              <w:fldChar w:fldCharType="end"/>
            </w:r>
          </w:hyperlink>
        </w:p>
        <w:p w14:paraId="6EDB76AF" w14:textId="6E3BDDC5"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1" w:history="1">
            <w:r w:rsidR="00CF2B36" w:rsidRPr="00A11D36">
              <w:rPr>
                <w:rStyle w:val="Hyperlink"/>
                <w:noProof/>
              </w:rPr>
              <w:t>5.8.7 Review of Draft Individual Permit Package</w:t>
            </w:r>
            <w:r w:rsidR="00CF2B36">
              <w:rPr>
                <w:noProof/>
                <w:webHidden/>
              </w:rPr>
              <w:tab/>
            </w:r>
            <w:r w:rsidR="00CF2B36">
              <w:rPr>
                <w:noProof/>
                <w:webHidden/>
              </w:rPr>
              <w:fldChar w:fldCharType="begin"/>
            </w:r>
            <w:r w:rsidR="00CF2B36">
              <w:rPr>
                <w:noProof/>
                <w:webHidden/>
              </w:rPr>
              <w:instrText xml:space="preserve"> PAGEREF _Toc179189551 \h </w:instrText>
            </w:r>
            <w:r w:rsidR="00CF2B36">
              <w:rPr>
                <w:noProof/>
                <w:webHidden/>
              </w:rPr>
            </w:r>
            <w:r w:rsidR="00CF2B36">
              <w:rPr>
                <w:noProof/>
                <w:webHidden/>
              </w:rPr>
              <w:fldChar w:fldCharType="separate"/>
            </w:r>
            <w:r w:rsidR="00CF2B36">
              <w:rPr>
                <w:noProof/>
                <w:webHidden/>
              </w:rPr>
              <w:t>17</w:t>
            </w:r>
            <w:r w:rsidR="00CF2B36">
              <w:rPr>
                <w:noProof/>
                <w:webHidden/>
              </w:rPr>
              <w:fldChar w:fldCharType="end"/>
            </w:r>
          </w:hyperlink>
        </w:p>
        <w:p w14:paraId="7464FA40" w14:textId="2BA5680F"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52" w:history="1">
            <w:r w:rsidR="00CF2B36" w:rsidRPr="00A11D36">
              <w:rPr>
                <w:rStyle w:val="Hyperlink"/>
                <w:noProof/>
              </w:rPr>
              <w:t>5.9 Public Notice Process</w:t>
            </w:r>
            <w:r w:rsidR="00CF2B36">
              <w:rPr>
                <w:noProof/>
                <w:webHidden/>
              </w:rPr>
              <w:tab/>
            </w:r>
            <w:r w:rsidR="00CF2B36">
              <w:rPr>
                <w:noProof/>
                <w:webHidden/>
              </w:rPr>
              <w:fldChar w:fldCharType="begin"/>
            </w:r>
            <w:r w:rsidR="00CF2B36">
              <w:rPr>
                <w:noProof/>
                <w:webHidden/>
              </w:rPr>
              <w:instrText xml:space="preserve"> PAGEREF _Toc179189552 \h </w:instrText>
            </w:r>
            <w:r w:rsidR="00CF2B36">
              <w:rPr>
                <w:noProof/>
                <w:webHidden/>
              </w:rPr>
            </w:r>
            <w:r w:rsidR="00CF2B36">
              <w:rPr>
                <w:noProof/>
                <w:webHidden/>
              </w:rPr>
              <w:fldChar w:fldCharType="separate"/>
            </w:r>
            <w:r w:rsidR="00CF2B36">
              <w:rPr>
                <w:noProof/>
                <w:webHidden/>
              </w:rPr>
              <w:t>17</w:t>
            </w:r>
            <w:r w:rsidR="00CF2B36">
              <w:rPr>
                <w:noProof/>
                <w:webHidden/>
              </w:rPr>
              <w:fldChar w:fldCharType="end"/>
            </w:r>
          </w:hyperlink>
        </w:p>
        <w:p w14:paraId="60E171FE" w14:textId="1962DC80"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3" w:history="1">
            <w:r w:rsidR="00CF2B36" w:rsidRPr="00A11D36">
              <w:rPr>
                <w:rStyle w:val="Hyperlink"/>
                <w:noProof/>
              </w:rPr>
              <w:t>5.9.1 Public Notice Notification</w:t>
            </w:r>
            <w:r w:rsidR="00CF2B36">
              <w:rPr>
                <w:noProof/>
                <w:webHidden/>
              </w:rPr>
              <w:tab/>
            </w:r>
            <w:r w:rsidR="00CF2B36">
              <w:rPr>
                <w:noProof/>
                <w:webHidden/>
              </w:rPr>
              <w:fldChar w:fldCharType="begin"/>
            </w:r>
            <w:r w:rsidR="00CF2B36">
              <w:rPr>
                <w:noProof/>
                <w:webHidden/>
              </w:rPr>
              <w:instrText xml:space="preserve"> PAGEREF _Toc179189553 \h </w:instrText>
            </w:r>
            <w:r w:rsidR="00CF2B36">
              <w:rPr>
                <w:noProof/>
                <w:webHidden/>
              </w:rPr>
            </w:r>
            <w:r w:rsidR="00CF2B36">
              <w:rPr>
                <w:noProof/>
                <w:webHidden/>
              </w:rPr>
              <w:fldChar w:fldCharType="separate"/>
            </w:r>
            <w:r w:rsidR="00CF2B36">
              <w:rPr>
                <w:noProof/>
                <w:webHidden/>
              </w:rPr>
              <w:t>17</w:t>
            </w:r>
            <w:r w:rsidR="00CF2B36">
              <w:rPr>
                <w:noProof/>
                <w:webHidden/>
              </w:rPr>
              <w:fldChar w:fldCharType="end"/>
            </w:r>
          </w:hyperlink>
        </w:p>
        <w:p w14:paraId="43DF0A25" w14:textId="689207C9"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4" w:history="1">
            <w:r w:rsidR="00CF2B36" w:rsidRPr="00A11D36">
              <w:rPr>
                <w:rStyle w:val="Hyperlink"/>
                <w:noProof/>
              </w:rPr>
              <w:t>5.9.2 Public Notice Verification</w:t>
            </w:r>
            <w:r w:rsidR="00CF2B36">
              <w:rPr>
                <w:noProof/>
                <w:webHidden/>
              </w:rPr>
              <w:tab/>
            </w:r>
            <w:r w:rsidR="00CF2B36">
              <w:rPr>
                <w:noProof/>
                <w:webHidden/>
              </w:rPr>
              <w:fldChar w:fldCharType="begin"/>
            </w:r>
            <w:r w:rsidR="00CF2B36">
              <w:rPr>
                <w:noProof/>
                <w:webHidden/>
              </w:rPr>
              <w:instrText xml:space="preserve"> PAGEREF _Toc179189554 \h </w:instrText>
            </w:r>
            <w:r w:rsidR="00CF2B36">
              <w:rPr>
                <w:noProof/>
                <w:webHidden/>
              </w:rPr>
            </w:r>
            <w:r w:rsidR="00CF2B36">
              <w:rPr>
                <w:noProof/>
                <w:webHidden/>
              </w:rPr>
              <w:fldChar w:fldCharType="separate"/>
            </w:r>
            <w:r w:rsidR="00CF2B36">
              <w:rPr>
                <w:noProof/>
                <w:webHidden/>
              </w:rPr>
              <w:t>17</w:t>
            </w:r>
            <w:r w:rsidR="00CF2B36">
              <w:rPr>
                <w:noProof/>
                <w:webHidden/>
              </w:rPr>
              <w:fldChar w:fldCharType="end"/>
            </w:r>
          </w:hyperlink>
        </w:p>
        <w:p w14:paraId="5E95045B" w14:textId="3B7242E2"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5" w:history="1">
            <w:r w:rsidR="00CF2B36" w:rsidRPr="00A11D36">
              <w:rPr>
                <w:rStyle w:val="Hyperlink"/>
                <w:noProof/>
              </w:rPr>
              <w:t>5.9.3 Thirty-Day Public Comment Period</w:t>
            </w:r>
            <w:r w:rsidR="00CF2B36">
              <w:rPr>
                <w:noProof/>
                <w:webHidden/>
              </w:rPr>
              <w:tab/>
            </w:r>
            <w:r w:rsidR="00CF2B36">
              <w:rPr>
                <w:noProof/>
                <w:webHidden/>
              </w:rPr>
              <w:fldChar w:fldCharType="begin"/>
            </w:r>
            <w:r w:rsidR="00CF2B36">
              <w:rPr>
                <w:noProof/>
                <w:webHidden/>
              </w:rPr>
              <w:instrText xml:space="preserve"> PAGEREF _Toc179189555 \h </w:instrText>
            </w:r>
            <w:r w:rsidR="00CF2B36">
              <w:rPr>
                <w:noProof/>
                <w:webHidden/>
              </w:rPr>
            </w:r>
            <w:r w:rsidR="00CF2B36">
              <w:rPr>
                <w:noProof/>
                <w:webHidden/>
              </w:rPr>
              <w:fldChar w:fldCharType="separate"/>
            </w:r>
            <w:r w:rsidR="00CF2B36">
              <w:rPr>
                <w:noProof/>
                <w:webHidden/>
              </w:rPr>
              <w:t>18</w:t>
            </w:r>
            <w:r w:rsidR="00CF2B36">
              <w:rPr>
                <w:noProof/>
                <w:webHidden/>
              </w:rPr>
              <w:fldChar w:fldCharType="end"/>
            </w:r>
          </w:hyperlink>
        </w:p>
        <w:p w14:paraId="15D50BE0" w14:textId="4E9C2228"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6" w:history="1">
            <w:r w:rsidR="00CF2B36" w:rsidRPr="00A11D36">
              <w:rPr>
                <w:rStyle w:val="Hyperlink"/>
                <w:noProof/>
              </w:rPr>
              <w:t>5.9.4 Public Comment Review and Response</w:t>
            </w:r>
            <w:r w:rsidR="00CF2B36">
              <w:rPr>
                <w:noProof/>
                <w:webHidden/>
              </w:rPr>
              <w:tab/>
            </w:r>
            <w:r w:rsidR="00CF2B36">
              <w:rPr>
                <w:noProof/>
                <w:webHidden/>
              </w:rPr>
              <w:fldChar w:fldCharType="begin"/>
            </w:r>
            <w:r w:rsidR="00CF2B36">
              <w:rPr>
                <w:noProof/>
                <w:webHidden/>
              </w:rPr>
              <w:instrText xml:space="preserve"> PAGEREF _Toc179189556 \h </w:instrText>
            </w:r>
            <w:r w:rsidR="00CF2B36">
              <w:rPr>
                <w:noProof/>
                <w:webHidden/>
              </w:rPr>
            </w:r>
            <w:r w:rsidR="00CF2B36">
              <w:rPr>
                <w:noProof/>
                <w:webHidden/>
              </w:rPr>
              <w:fldChar w:fldCharType="separate"/>
            </w:r>
            <w:r w:rsidR="00CF2B36">
              <w:rPr>
                <w:noProof/>
                <w:webHidden/>
              </w:rPr>
              <w:t>18</w:t>
            </w:r>
            <w:r w:rsidR="00CF2B36">
              <w:rPr>
                <w:noProof/>
                <w:webHidden/>
              </w:rPr>
              <w:fldChar w:fldCharType="end"/>
            </w:r>
          </w:hyperlink>
        </w:p>
        <w:p w14:paraId="29354AAC" w14:textId="7687A1B9"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57" w:history="1">
            <w:r w:rsidR="00CF2B36" w:rsidRPr="00A11D36">
              <w:rPr>
                <w:rStyle w:val="Hyperlink"/>
                <w:noProof/>
              </w:rPr>
              <w:t>5.9.5 Public Hearing</w:t>
            </w:r>
            <w:r w:rsidR="00CF2B36">
              <w:rPr>
                <w:noProof/>
                <w:webHidden/>
              </w:rPr>
              <w:tab/>
            </w:r>
            <w:r w:rsidR="00CF2B36">
              <w:rPr>
                <w:noProof/>
                <w:webHidden/>
              </w:rPr>
              <w:fldChar w:fldCharType="begin"/>
            </w:r>
            <w:r w:rsidR="00CF2B36">
              <w:rPr>
                <w:noProof/>
                <w:webHidden/>
              </w:rPr>
              <w:instrText xml:space="preserve"> PAGEREF _Toc179189557 \h </w:instrText>
            </w:r>
            <w:r w:rsidR="00CF2B36">
              <w:rPr>
                <w:noProof/>
                <w:webHidden/>
              </w:rPr>
            </w:r>
            <w:r w:rsidR="00CF2B36">
              <w:rPr>
                <w:noProof/>
                <w:webHidden/>
              </w:rPr>
              <w:fldChar w:fldCharType="separate"/>
            </w:r>
            <w:r w:rsidR="00CF2B36">
              <w:rPr>
                <w:noProof/>
                <w:webHidden/>
              </w:rPr>
              <w:t>18</w:t>
            </w:r>
            <w:r w:rsidR="00CF2B36">
              <w:rPr>
                <w:noProof/>
                <w:webHidden/>
              </w:rPr>
              <w:fldChar w:fldCharType="end"/>
            </w:r>
          </w:hyperlink>
        </w:p>
        <w:p w14:paraId="7C7E6818" w14:textId="06034F77"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58" w:history="1">
            <w:r w:rsidR="00CF2B36" w:rsidRPr="00A11D36">
              <w:rPr>
                <w:rStyle w:val="Hyperlink"/>
                <w:noProof/>
              </w:rPr>
              <w:t>5.10 Permit Issuance</w:t>
            </w:r>
            <w:r w:rsidR="00CF2B36">
              <w:rPr>
                <w:noProof/>
                <w:webHidden/>
              </w:rPr>
              <w:tab/>
            </w:r>
            <w:r w:rsidR="00CF2B36">
              <w:rPr>
                <w:noProof/>
                <w:webHidden/>
              </w:rPr>
              <w:fldChar w:fldCharType="begin"/>
            </w:r>
            <w:r w:rsidR="00CF2B36">
              <w:rPr>
                <w:noProof/>
                <w:webHidden/>
              </w:rPr>
              <w:instrText xml:space="preserve"> PAGEREF _Toc179189558 \h </w:instrText>
            </w:r>
            <w:r w:rsidR="00CF2B36">
              <w:rPr>
                <w:noProof/>
                <w:webHidden/>
              </w:rPr>
            </w:r>
            <w:r w:rsidR="00CF2B36">
              <w:rPr>
                <w:noProof/>
                <w:webHidden/>
              </w:rPr>
              <w:fldChar w:fldCharType="separate"/>
            </w:r>
            <w:r w:rsidR="00CF2B36">
              <w:rPr>
                <w:noProof/>
                <w:webHidden/>
              </w:rPr>
              <w:t>18</w:t>
            </w:r>
            <w:r w:rsidR="00CF2B36">
              <w:rPr>
                <w:noProof/>
                <w:webHidden/>
              </w:rPr>
              <w:fldChar w:fldCharType="end"/>
            </w:r>
          </w:hyperlink>
        </w:p>
        <w:p w14:paraId="186C6917" w14:textId="5B28FC5D" w:rsidR="00CF2B36" w:rsidRDefault="00E86793">
          <w:pPr>
            <w:pStyle w:val="TOC2"/>
            <w:tabs>
              <w:tab w:val="right" w:leader="dot" w:pos="9350"/>
            </w:tabs>
            <w:rPr>
              <w:rFonts w:eastAsiaTheme="minorEastAsia" w:cstheme="minorBidi"/>
              <w:smallCaps w:val="0"/>
              <w:noProof/>
              <w:kern w:val="2"/>
              <w:sz w:val="24"/>
              <w:szCs w:val="24"/>
              <w14:ligatures w14:val="standardContextual"/>
            </w:rPr>
          </w:pPr>
          <w:hyperlink w:anchor="_Toc179189559" w:history="1">
            <w:r w:rsidR="00CF2B36" w:rsidRPr="00A11D36">
              <w:rPr>
                <w:rStyle w:val="Hyperlink"/>
                <w:noProof/>
              </w:rPr>
              <w:t>5.11 Process for Denial of an Individual Permit Application</w:t>
            </w:r>
            <w:r w:rsidR="00CF2B36">
              <w:rPr>
                <w:noProof/>
                <w:webHidden/>
              </w:rPr>
              <w:tab/>
            </w:r>
            <w:r w:rsidR="00CF2B36">
              <w:rPr>
                <w:noProof/>
                <w:webHidden/>
              </w:rPr>
              <w:fldChar w:fldCharType="begin"/>
            </w:r>
            <w:r w:rsidR="00CF2B36">
              <w:rPr>
                <w:noProof/>
                <w:webHidden/>
              </w:rPr>
              <w:instrText xml:space="preserve"> PAGEREF _Toc179189559 \h </w:instrText>
            </w:r>
            <w:r w:rsidR="00CF2B36">
              <w:rPr>
                <w:noProof/>
                <w:webHidden/>
              </w:rPr>
            </w:r>
            <w:r w:rsidR="00CF2B36">
              <w:rPr>
                <w:noProof/>
                <w:webHidden/>
              </w:rPr>
              <w:fldChar w:fldCharType="separate"/>
            </w:r>
            <w:r w:rsidR="00CF2B36">
              <w:rPr>
                <w:noProof/>
                <w:webHidden/>
              </w:rPr>
              <w:t>19</w:t>
            </w:r>
            <w:r w:rsidR="00CF2B36">
              <w:rPr>
                <w:noProof/>
                <w:webHidden/>
              </w:rPr>
              <w:fldChar w:fldCharType="end"/>
            </w:r>
          </w:hyperlink>
        </w:p>
        <w:p w14:paraId="12086150" w14:textId="60246D53"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60" w:history="1">
            <w:r w:rsidR="00CF2B36" w:rsidRPr="00A11D36">
              <w:rPr>
                <w:rStyle w:val="Hyperlink"/>
                <w:noProof/>
              </w:rPr>
              <w:t>5.11.1 Bases for Denial</w:t>
            </w:r>
            <w:r w:rsidR="00CF2B36">
              <w:rPr>
                <w:noProof/>
                <w:webHidden/>
              </w:rPr>
              <w:tab/>
            </w:r>
            <w:r w:rsidR="00CF2B36">
              <w:rPr>
                <w:noProof/>
                <w:webHidden/>
              </w:rPr>
              <w:fldChar w:fldCharType="begin"/>
            </w:r>
            <w:r w:rsidR="00CF2B36">
              <w:rPr>
                <w:noProof/>
                <w:webHidden/>
              </w:rPr>
              <w:instrText xml:space="preserve"> PAGEREF _Toc179189560 \h </w:instrText>
            </w:r>
            <w:r w:rsidR="00CF2B36">
              <w:rPr>
                <w:noProof/>
                <w:webHidden/>
              </w:rPr>
            </w:r>
            <w:r w:rsidR="00CF2B36">
              <w:rPr>
                <w:noProof/>
                <w:webHidden/>
              </w:rPr>
              <w:fldChar w:fldCharType="separate"/>
            </w:r>
            <w:r w:rsidR="00CF2B36">
              <w:rPr>
                <w:noProof/>
                <w:webHidden/>
              </w:rPr>
              <w:t>20</w:t>
            </w:r>
            <w:r w:rsidR="00CF2B36">
              <w:rPr>
                <w:noProof/>
                <w:webHidden/>
              </w:rPr>
              <w:fldChar w:fldCharType="end"/>
            </w:r>
          </w:hyperlink>
        </w:p>
        <w:p w14:paraId="6689F840" w14:textId="05BF9468"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61" w:history="1">
            <w:r w:rsidR="00CF2B36" w:rsidRPr="00A11D36">
              <w:rPr>
                <w:rStyle w:val="Hyperlink"/>
                <w:noProof/>
              </w:rPr>
              <w:t>5.11.2 Notification to Applicant</w:t>
            </w:r>
            <w:r w:rsidR="00CF2B36">
              <w:rPr>
                <w:noProof/>
                <w:webHidden/>
              </w:rPr>
              <w:tab/>
            </w:r>
            <w:r w:rsidR="00CF2B36">
              <w:rPr>
                <w:noProof/>
                <w:webHidden/>
              </w:rPr>
              <w:fldChar w:fldCharType="begin"/>
            </w:r>
            <w:r w:rsidR="00CF2B36">
              <w:rPr>
                <w:noProof/>
                <w:webHidden/>
              </w:rPr>
              <w:instrText xml:space="preserve"> PAGEREF _Toc179189561 \h </w:instrText>
            </w:r>
            <w:r w:rsidR="00CF2B36">
              <w:rPr>
                <w:noProof/>
                <w:webHidden/>
              </w:rPr>
            </w:r>
            <w:r w:rsidR="00CF2B36">
              <w:rPr>
                <w:noProof/>
                <w:webHidden/>
              </w:rPr>
              <w:fldChar w:fldCharType="separate"/>
            </w:r>
            <w:r w:rsidR="00CF2B36">
              <w:rPr>
                <w:noProof/>
                <w:webHidden/>
              </w:rPr>
              <w:t>20</w:t>
            </w:r>
            <w:r w:rsidR="00CF2B36">
              <w:rPr>
                <w:noProof/>
                <w:webHidden/>
              </w:rPr>
              <w:fldChar w:fldCharType="end"/>
            </w:r>
          </w:hyperlink>
        </w:p>
        <w:p w14:paraId="5605A64F" w14:textId="64923320" w:rsidR="00CF2B36" w:rsidRDefault="00E86793">
          <w:pPr>
            <w:pStyle w:val="TOC3"/>
            <w:tabs>
              <w:tab w:val="right" w:leader="dot" w:pos="9350"/>
            </w:tabs>
            <w:rPr>
              <w:rFonts w:eastAsiaTheme="minorEastAsia" w:cstheme="minorBidi"/>
              <w:i w:val="0"/>
              <w:iCs w:val="0"/>
              <w:noProof/>
              <w:kern w:val="2"/>
              <w:sz w:val="24"/>
              <w:szCs w:val="24"/>
              <w14:ligatures w14:val="standardContextual"/>
            </w:rPr>
          </w:pPr>
          <w:hyperlink w:anchor="_Toc179189562" w:history="1">
            <w:r w:rsidR="00CF2B36" w:rsidRPr="00A11D36">
              <w:rPr>
                <w:rStyle w:val="Hyperlink"/>
                <w:noProof/>
              </w:rPr>
              <w:t>5.11.3 Public Notice to Deny Permit</w:t>
            </w:r>
            <w:r w:rsidR="00CF2B36">
              <w:rPr>
                <w:noProof/>
                <w:webHidden/>
              </w:rPr>
              <w:tab/>
            </w:r>
            <w:r w:rsidR="00CF2B36">
              <w:rPr>
                <w:noProof/>
                <w:webHidden/>
              </w:rPr>
              <w:fldChar w:fldCharType="begin"/>
            </w:r>
            <w:r w:rsidR="00CF2B36">
              <w:rPr>
                <w:noProof/>
                <w:webHidden/>
              </w:rPr>
              <w:instrText xml:space="preserve"> PAGEREF _Toc179189562 \h </w:instrText>
            </w:r>
            <w:r w:rsidR="00CF2B36">
              <w:rPr>
                <w:noProof/>
                <w:webHidden/>
              </w:rPr>
            </w:r>
            <w:r w:rsidR="00CF2B36">
              <w:rPr>
                <w:noProof/>
                <w:webHidden/>
              </w:rPr>
              <w:fldChar w:fldCharType="separate"/>
            </w:r>
            <w:r w:rsidR="00CF2B36">
              <w:rPr>
                <w:noProof/>
                <w:webHidden/>
              </w:rPr>
              <w:t>20</w:t>
            </w:r>
            <w:r w:rsidR="00CF2B36">
              <w:rPr>
                <w:noProof/>
                <w:webHidden/>
              </w:rPr>
              <w:fldChar w:fldCharType="end"/>
            </w:r>
          </w:hyperlink>
        </w:p>
        <w:p w14:paraId="76838533" w14:textId="31CA1697" w:rsidR="00D3567D" w:rsidRDefault="00667513">
          <w:r w:rsidRPr="001D253C">
            <w:rPr>
              <w:rFonts w:cstheme="minorHAnsi"/>
              <w:b/>
              <w:bCs/>
              <w:caps/>
            </w:rPr>
            <w:fldChar w:fldCharType="end"/>
          </w:r>
        </w:p>
      </w:sdtContent>
    </w:sdt>
    <w:p w14:paraId="1D10CDF8" w14:textId="77777777" w:rsidR="00BF3124" w:rsidRDefault="00BF3124" w:rsidP="003B1A99"/>
    <w:p w14:paraId="05ED7199" w14:textId="5D9E4D85" w:rsidR="00B24B88" w:rsidRDefault="00B24B88" w:rsidP="003B1A99">
      <w:r>
        <w:t>See DISCLAIMER in INTRODUCTION.</w:t>
      </w:r>
    </w:p>
    <w:p w14:paraId="6CA30D99" w14:textId="5A6C4059" w:rsidR="00C66281" w:rsidRDefault="00AA054B" w:rsidP="00AA054B">
      <w:pPr>
        <w:pStyle w:val="Heading1"/>
      </w:pPr>
      <w:bookmarkStart w:id="1" w:name="_Toc179189528"/>
      <w:r>
        <w:lastRenderedPageBreak/>
        <w:t xml:space="preserve">CHAPTER 5: VWP PERMIT PROGRAM </w:t>
      </w:r>
      <w:r w:rsidR="002B3DFB">
        <w:t xml:space="preserve">NON-CONTROVERSIAL </w:t>
      </w:r>
      <w:r>
        <w:t>INDIVIDUAL PERMITS</w:t>
      </w:r>
      <w:bookmarkEnd w:id="1"/>
      <w:bookmarkEnd w:id="0"/>
    </w:p>
    <w:p w14:paraId="663B8197" w14:textId="662BD1BB" w:rsidR="00DA3082" w:rsidRDefault="00AA054B" w:rsidP="00AA054B">
      <w:pPr>
        <w:pStyle w:val="Heading2"/>
      </w:pPr>
      <w:bookmarkStart w:id="2" w:name="_Toc179189529"/>
      <w:r>
        <w:t xml:space="preserve">5.1 </w:t>
      </w:r>
      <w:r w:rsidR="00DA3082">
        <w:t>Applicable Provisions</w:t>
      </w:r>
      <w:bookmarkEnd w:id="2"/>
    </w:p>
    <w:p w14:paraId="71AFAC65" w14:textId="3108B078" w:rsidR="00520C00" w:rsidRDefault="00520C00" w:rsidP="00890236">
      <w:pPr>
        <w:jc w:val="both"/>
      </w:pPr>
      <w:r>
        <w:t xml:space="preserve">Legislation passed in 2022 defines controversial permits as any air or water permit for which a public hearing has been granted pursuant to § </w:t>
      </w:r>
      <w:hyperlink r:id="rId11" w:history="1">
        <w:r w:rsidRPr="00CC49A0">
          <w:rPr>
            <w:rStyle w:val="Hyperlink"/>
          </w:rPr>
          <w:t>10.1-1184</w:t>
        </w:r>
      </w:hyperlink>
      <w:bookmarkStart w:id="3" w:name="_Toc536434584"/>
      <w:r>
        <w:t xml:space="preserve">.1.C (as enacted by Senate Bill 657). </w:t>
      </w:r>
      <w:r w:rsidR="00E82225" w:rsidRPr="009C052E">
        <w:t>For guidance on processing</w:t>
      </w:r>
      <w:r w:rsidR="00E82225">
        <w:t xml:space="preserve"> controversial VWP individual permits, please see the most recent version of </w:t>
      </w:r>
      <w:hyperlink r:id="rId12" w:history="1">
        <w:r w:rsidR="00E82225" w:rsidRPr="00333220">
          <w:rPr>
            <w:rStyle w:val="Hyperlink"/>
          </w:rPr>
          <w:t>“Public Hearing Procedures for Permitting Decisions [9.23.22].pdf”</w:t>
        </w:r>
      </w:hyperlink>
      <w:r w:rsidR="00E82225">
        <w:t xml:space="preserve"> </w:t>
      </w:r>
      <w:r w:rsidR="00333220">
        <w:t>on DEQnet</w:t>
      </w:r>
      <w:r w:rsidR="00A422FC">
        <w:t xml:space="preserve">, as well as </w:t>
      </w:r>
      <w:hyperlink r:id="rId13" w:history="1">
        <w:r w:rsidR="00A422FC" w:rsidRPr="006065E5">
          <w:rPr>
            <w:rStyle w:val="Hyperlink"/>
          </w:rPr>
          <w:t>9VAC25-210-140 through -174</w:t>
        </w:r>
      </w:hyperlink>
      <w:r w:rsidR="00E82225">
        <w:t xml:space="preserve">. This </w:t>
      </w:r>
      <w:r>
        <w:t>Chapter 5 addresses non-controversial VWP individual permits</w:t>
      </w:r>
      <w:r w:rsidR="001136FB">
        <w:t xml:space="preserve"> – that is, those instances where a public hearing is </w:t>
      </w:r>
      <w:r w:rsidR="001136FB" w:rsidRPr="00E82225">
        <w:t xml:space="preserve">not mandated </w:t>
      </w:r>
      <w:r w:rsidR="001136FB" w:rsidRPr="00FC24A4">
        <w:t>under state or federal law or regulation</w:t>
      </w:r>
      <w:r w:rsidR="00E82225">
        <w:t xml:space="preserve"> and where a public hearing is not occurring, whether that is due to not receiving the correct number of requests or due to the Director declining the requests. Any time that DEQ decides to hold a concurrent public comment period and a public hearing, without waiting requests from the public, then refer to the guidance on controversial permits </w:t>
      </w:r>
      <w:r w:rsidR="00A422FC">
        <w:t xml:space="preserve">and applicable regulatory provisions </w:t>
      </w:r>
      <w:r w:rsidR="00E82225">
        <w:t>rather than this chapter.</w:t>
      </w:r>
    </w:p>
    <w:p w14:paraId="65FB5DB7" w14:textId="3DA72486" w:rsidR="00C255F1" w:rsidRDefault="00DA3082" w:rsidP="00890236">
      <w:pPr>
        <w:jc w:val="both"/>
      </w:pPr>
      <w:r>
        <w:t xml:space="preserve">Days are calendar days unless otherwise specified. </w:t>
      </w:r>
      <w:r w:rsidR="002B3DFB">
        <w:t>With the exception of public notice comment periods, time periods measured in d</w:t>
      </w:r>
      <w:r>
        <w:t xml:space="preserve">ays </w:t>
      </w:r>
      <w:r w:rsidR="002B3DFB">
        <w:t xml:space="preserve">that are </w:t>
      </w:r>
      <w:r>
        <w:t>required by regulation or by statute begin with the day after the item is received or a specific action is required.</w:t>
      </w:r>
    </w:p>
    <w:p w14:paraId="7B91A520" w14:textId="6B229EDC" w:rsidR="00DA3082" w:rsidRPr="00495B1C" w:rsidRDefault="00495B1C" w:rsidP="00890236">
      <w:pPr>
        <w:jc w:val="both"/>
        <w:rPr>
          <w:strike/>
        </w:rPr>
      </w:pPr>
      <w:r w:rsidRPr="00495B1C">
        <w:t xml:space="preserve">Comments </w:t>
      </w:r>
      <w:r>
        <w:t xml:space="preserve">being provided by hand-delivery </w:t>
      </w:r>
      <w:r w:rsidRPr="00495B1C">
        <w:t xml:space="preserve">will be </w:t>
      </w:r>
      <w:r>
        <w:t>ac</w:t>
      </w:r>
      <w:r w:rsidRPr="00495B1C">
        <w:t>cepted until 5</w:t>
      </w:r>
      <w:r>
        <w:t>:00 PM</w:t>
      </w:r>
      <w:r w:rsidR="009B1702" w:rsidRPr="009B1702">
        <w:t xml:space="preserve"> </w:t>
      </w:r>
      <w:r w:rsidR="009B1702" w:rsidRPr="00495B1C">
        <w:t>on the last day</w:t>
      </w:r>
      <w:r w:rsidR="009B1702">
        <w:t xml:space="preserve"> of a public comment period</w:t>
      </w:r>
      <w:r>
        <w:t>,</w:t>
      </w:r>
      <w:r w:rsidRPr="00495B1C">
        <w:t xml:space="preserve"> or </w:t>
      </w:r>
      <w:r>
        <w:t>when provided</w:t>
      </w:r>
      <w:r w:rsidR="009B1702">
        <w:t xml:space="preserve"> </w:t>
      </w:r>
      <w:r w:rsidRPr="00495B1C">
        <w:t>electronically</w:t>
      </w:r>
      <w:r>
        <w:t>,</w:t>
      </w:r>
      <w:r w:rsidRPr="00495B1C">
        <w:t xml:space="preserve"> until 11:59 </w:t>
      </w:r>
      <w:r>
        <w:t>PM</w:t>
      </w:r>
      <w:r w:rsidRPr="00495B1C">
        <w:t xml:space="preserve"> on the last day</w:t>
      </w:r>
      <w:r>
        <w:t xml:space="preserve"> of a public comment period</w:t>
      </w:r>
      <w:r w:rsidRPr="00495B1C">
        <w:t xml:space="preserve">. </w:t>
      </w:r>
      <w:r w:rsidR="002B3DFB">
        <w:t xml:space="preserve">For example, 30-day public comment periods are common. </w:t>
      </w:r>
      <w:r w:rsidRPr="0002100F">
        <w:t>If the 30</w:t>
      </w:r>
      <w:r w:rsidRPr="0002100F">
        <w:rPr>
          <w:vertAlign w:val="superscript"/>
        </w:rPr>
        <w:t>th</w:t>
      </w:r>
      <w:r w:rsidRPr="0002100F">
        <w:t xml:space="preserve"> day of </w:t>
      </w:r>
      <w:r>
        <w:t>a</w:t>
      </w:r>
      <w:r w:rsidRPr="0002100F">
        <w:t xml:space="preserve"> </w:t>
      </w:r>
      <w:r>
        <w:t xml:space="preserve">public </w:t>
      </w:r>
      <w:r w:rsidRPr="0002100F">
        <w:t xml:space="preserve">comment period occurs on a weekend or holiday, the next </w:t>
      </w:r>
      <w:r w:rsidRPr="0002100F">
        <w:rPr>
          <w:b/>
        </w:rPr>
        <w:t>business</w:t>
      </w:r>
      <w:r w:rsidRPr="0002100F">
        <w:t xml:space="preserve"> day is considered the 30</w:t>
      </w:r>
      <w:r w:rsidRPr="0002100F">
        <w:rPr>
          <w:vertAlign w:val="superscript"/>
        </w:rPr>
        <w:t>th</w:t>
      </w:r>
      <w:r w:rsidRPr="0002100F">
        <w:t xml:space="preserve"> </w:t>
      </w:r>
      <w:r>
        <w:t xml:space="preserve">day, or ‘last </w:t>
      </w:r>
      <w:r w:rsidRPr="0002100F">
        <w:t>day</w:t>
      </w:r>
      <w:r>
        <w:t>’ (in which case the comment period will be longer than 30 days; 30 days is the minimum)</w:t>
      </w:r>
      <w:r w:rsidRPr="0002100F">
        <w:t>.</w:t>
      </w:r>
    </w:p>
    <w:p w14:paraId="464DA62F" w14:textId="5A8A5935" w:rsidR="00AA054B" w:rsidRDefault="00DA3082" w:rsidP="00890236">
      <w:pPr>
        <w:jc w:val="both"/>
      </w:pPr>
      <w:r>
        <w:t>Normal business hours are 8:00 AM to 5:00 PM Eastern Standard Time (EST), Monday through Friday.</w:t>
      </w:r>
      <w:bookmarkEnd w:id="3"/>
    </w:p>
    <w:p w14:paraId="47B5766F" w14:textId="58B62343" w:rsidR="00AA054B" w:rsidRDefault="00AA054B" w:rsidP="00AA054B">
      <w:r w:rsidRPr="00DD68C3">
        <w:t xml:space="preserve">Table </w:t>
      </w:r>
      <w:r w:rsidR="004642F1">
        <w:rPr>
          <w:noProof/>
        </w:rPr>
        <w:fldChar w:fldCharType="begin"/>
      </w:r>
      <w:r w:rsidR="004642F1">
        <w:rPr>
          <w:noProof/>
        </w:rPr>
        <w:instrText xml:space="preserve"> SEQ Table \* ARABIC </w:instrText>
      </w:r>
      <w:r w:rsidR="004642F1">
        <w:rPr>
          <w:noProof/>
        </w:rPr>
        <w:fldChar w:fldCharType="separate"/>
      </w:r>
      <w:r w:rsidRPr="00DD68C3">
        <w:rPr>
          <w:noProof/>
        </w:rPr>
        <w:t>1</w:t>
      </w:r>
      <w:r w:rsidR="004642F1">
        <w:rPr>
          <w:noProof/>
        </w:rPr>
        <w:fldChar w:fldCharType="end"/>
      </w:r>
      <w:r w:rsidRPr="00DD68C3">
        <w:t xml:space="preserve">: </w:t>
      </w:r>
      <w:r w:rsidRPr="00FC24A4">
        <w:rPr>
          <w:u w:val="single"/>
        </w:rPr>
        <w:t>Individual Permit</w:t>
      </w:r>
      <w:r w:rsidRPr="00DD68C3">
        <w:t xml:space="preserve"> </w:t>
      </w:r>
      <w:r w:rsidR="002B3DFB">
        <w:t xml:space="preserve">Targets and </w:t>
      </w:r>
      <w:r w:rsidRPr="00DD68C3">
        <w:t>Deadlines</w:t>
      </w:r>
    </w:p>
    <w:tbl>
      <w:tblPr>
        <w:tblStyle w:val="LightList-Accent11"/>
        <w:tblW w:w="0" w:type="auto"/>
        <w:jc w:val="center"/>
        <w:tblLook w:val="04A0" w:firstRow="1" w:lastRow="0" w:firstColumn="1" w:lastColumn="0" w:noHBand="0" w:noVBand="1"/>
        <w:tblCaption w:val="Table 1: Individual Permit Deadlines"/>
        <w:tblDescription w:val="Summarized VWP individual permit timeline requirements"/>
      </w:tblPr>
      <w:tblGrid>
        <w:gridCol w:w="4428"/>
        <w:gridCol w:w="4428"/>
      </w:tblGrid>
      <w:tr w:rsidR="00A11246" w14:paraId="22C7B935" w14:textId="77777777" w:rsidTr="00A935E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28" w:type="dxa"/>
          </w:tcPr>
          <w:p w14:paraId="178D6DCC" w14:textId="77777777" w:rsidR="00A11246" w:rsidRPr="00FD19AF" w:rsidRDefault="00A11246" w:rsidP="00A935E9">
            <w:r w:rsidRPr="00FD19AF">
              <w:t>Element</w:t>
            </w:r>
          </w:p>
        </w:tc>
        <w:tc>
          <w:tcPr>
            <w:tcW w:w="4428" w:type="dxa"/>
          </w:tcPr>
          <w:p w14:paraId="27B9ED0C" w14:textId="77777777" w:rsidR="00A11246" w:rsidRPr="00FD19AF" w:rsidRDefault="00A11246" w:rsidP="00A935E9">
            <w:pPr>
              <w:cnfStyle w:val="100000000000" w:firstRow="1" w:lastRow="0" w:firstColumn="0" w:lastColumn="0" w:oddVBand="0" w:evenVBand="0" w:oddHBand="0" w:evenHBand="0" w:firstRowFirstColumn="0" w:firstRowLastColumn="0" w:lastRowFirstColumn="0" w:lastRowLastColumn="0"/>
            </w:pPr>
            <w:r w:rsidRPr="00FD19AF">
              <w:t>Timeline</w:t>
            </w:r>
          </w:p>
        </w:tc>
      </w:tr>
      <w:tr w:rsidR="00A11246" w14:paraId="04A3BF61" w14:textId="77777777" w:rsidTr="00A93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6318E38B" w14:textId="77777777" w:rsidR="00A11246" w:rsidRDefault="00A11246" w:rsidP="00A935E9">
            <w:r>
              <w:t>Review of Individual Permit Application and Additional Information Requests</w:t>
            </w:r>
          </w:p>
        </w:tc>
        <w:tc>
          <w:tcPr>
            <w:tcW w:w="4428" w:type="dxa"/>
          </w:tcPr>
          <w:p w14:paraId="4CDE3BAA" w14:textId="1C202AEB" w:rsidR="00A11246" w:rsidRDefault="00A11246" w:rsidP="00A935E9">
            <w:pPr>
              <w:cnfStyle w:val="000000100000" w:firstRow="0" w:lastRow="0" w:firstColumn="0" w:lastColumn="0" w:oddVBand="0" w:evenVBand="0" w:oddHBand="1" w:evenHBand="0" w:firstRowFirstColumn="0" w:firstRowLastColumn="0" w:lastRowFirstColumn="0" w:lastRowLastColumn="0"/>
            </w:pPr>
            <w:r>
              <w:t xml:space="preserve">15 Days </w:t>
            </w:r>
            <w:r w:rsidRPr="00233E6D">
              <w:t>(</w:t>
            </w:r>
            <w:hyperlink r:id="rId14" w:history="1">
              <w:r w:rsidRPr="0020744D">
                <w:rPr>
                  <w:rStyle w:val="Hyperlink"/>
                </w:rPr>
                <w:t>9VAC25-210-80</w:t>
              </w:r>
            </w:hyperlink>
            <w:r w:rsidR="0020744D">
              <w:t>.</w:t>
            </w:r>
            <w:r w:rsidRPr="00233E6D">
              <w:t>D)</w:t>
            </w:r>
          </w:p>
        </w:tc>
      </w:tr>
      <w:tr w:rsidR="00A11246" w14:paraId="5FB117DE" w14:textId="77777777" w:rsidTr="00A935E9">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18F19ED1" w14:textId="77777777" w:rsidR="00A11246" w:rsidRDefault="00A11246" w:rsidP="00A935E9">
            <w:r>
              <w:t>Applicant Response to Additional Info Requests</w:t>
            </w:r>
          </w:p>
        </w:tc>
        <w:tc>
          <w:tcPr>
            <w:tcW w:w="4428" w:type="dxa"/>
          </w:tcPr>
          <w:p w14:paraId="086682B5" w14:textId="5E5133BD" w:rsidR="00A11246" w:rsidRDefault="002B3DFB">
            <w:pPr>
              <w:cnfStyle w:val="000000000000" w:firstRow="0" w:lastRow="0" w:firstColumn="0" w:lastColumn="0" w:oddVBand="0" w:evenVBand="0" w:oddHBand="0" w:evenHBand="0" w:firstRowFirstColumn="0" w:firstRowLastColumn="0" w:lastRowFirstColumn="0" w:lastRowLastColumn="0"/>
            </w:pPr>
            <w:r>
              <w:t>15</w:t>
            </w:r>
            <w:r w:rsidR="00A11246">
              <w:t xml:space="preserve"> Days</w:t>
            </w:r>
            <w:r>
              <w:t xml:space="preserve"> (as a Goal or Target)</w:t>
            </w:r>
            <w:r w:rsidR="00A11246">
              <w:t xml:space="preserve"> </w:t>
            </w:r>
          </w:p>
        </w:tc>
      </w:tr>
      <w:tr w:rsidR="00A11246" w14:paraId="764A4F43" w14:textId="77777777" w:rsidTr="00A93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27ED8FBE" w14:textId="77777777" w:rsidR="00A11246" w:rsidRDefault="00A11246" w:rsidP="00A935E9">
            <w:r>
              <w:t xml:space="preserve">Individual Permit Issuance </w:t>
            </w:r>
          </w:p>
        </w:tc>
        <w:tc>
          <w:tcPr>
            <w:tcW w:w="4428" w:type="dxa"/>
          </w:tcPr>
          <w:p w14:paraId="5FB03BAC" w14:textId="001152DF" w:rsidR="00A11246" w:rsidRDefault="00A11246" w:rsidP="00A935E9">
            <w:pPr>
              <w:cnfStyle w:val="000000100000" w:firstRow="0" w:lastRow="0" w:firstColumn="0" w:lastColumn="0" w:oddVBand="0" w:evenVBand="0" w:oddHBand="1" w:evenHBand="0" w:firstRowFirstColumn="0" w:firstRowLastColumn="0" w:lastRowFirstColumn="0" w:lastRowLastColumn="0"/>
            </w:pPr>
            <w:r>
              <w:t>120 Days</w:t>
            </w:r>
            <w:r w:rsidR="00DA3082">
              <w:t xml:space="preserve"> </w:t>
            </w:r>
            <w:r w:rsidRPr="00233E6D">
              <w:t xml:space="preserve">(§ </w:t>
            </w:r>
            <w:hyperlink r:id="rId15" w:history="1">
              <w:r w:rsidRPr="00AE551B">
                <w:rPr>
                  <w:rStyle w:val="Hyperlink"/>
                </w:rPr>
                <w:t>62.1-44.15:21</w:t>
              </w:r>
            </w:hyperlink>
            <w:r w:rsidR="00AE551B">
              <w:t>.</w:t>
            </w:r>
            <w:r w:rsidRPr="00233E6D">
              <w:t>E)</w:t>
            </w:r>
          </w:p>
          <w:p w14:paraId="06EE128D" w14:textId="0A4942F3" w:rsidR="00A11246" w:rsidRDefault="00A11246" w:rsidP="00A935E9">
            <w:pPr>
              <w:cnfStyle w:val="000000100000" w:firstRow="0" w:lastRow="0" w:firstColumn="0" w:lastColumn="0" w:oddVBand="0" w:evenVBand="0" w:oddHBand="1" w:evenHBand="0" w:firstRowFirstColumn="0" w:firstRowLastColumn="0" w:lastRowFirstColumn="0" w:lastRowLastColumn="0"/>
            </w:pPr>
            <w:r w:rsidRPr="00495B1C">
              <w:rPr>
                <w:i/>
              </w:rPr>
              <w:t>From date of receipt of a complete permit application</w:t>
            </w:r>
            <w:r>
              <w:t xml:space="preserve">  </w:t>
            </w:r>
          </w:p>
        </w:tc>
      </w:tr>
      <w:tr w:rsidR="00A11246" w14:paraId="09BD6354" w14:textId="77777777" w:rsidTr="00A935E9">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1BCFA558" w14:textId="23DC979B" w:rsidR="00A11246" w:rsidRDefault="00A11246" w:rsidP="00A935E9">
            <w:r>
              <w:t xml:space="preserve">State </w:t>
            </w:r>
            <w:r w:rsidR="00C66C99">
              <w:t xml:space="preserve">Resource </w:t>
            </w:r>
            <w:r>
              <w:t>Agency Comment Period</w:t>
            </w:r>
          </w:p>
        </w:tc>
        <w:tc>
          <w:tcPr>
            <w:tcW w:w="4428" w:type="dxa"/>
          </w:tcPr>
          <w:p w14:paraId="0806D8F2" w14:textId="6D66A878" w:rsidR="00A11246" w:rsidRDefault="00A11246" w:rsidP="00A935E9">
            <w:pPr>
              <w:cnfStyle w:val="000000000000" w:firstRow="0" w:lastRow="0" w:firstColumn="0" w:lastColumn="0" w:oddVBand="0" w:evenVBand="0" w:oddHBand="0" w:evenHBand="0" w:firstRowFirstColumn="0" w:firstRowLastColumn="0" w:lastRowFirstColumn="0" w:lastRowLastColumn="0"/>
            </w:pPr>
            <w:r>
              <w:t>45 D</w:t>
            </w:r>
            <w:r w:rsidRPr="00233E6D">
              <w:t>ays (§</w:t>
            </w:r>
            <w:r w:rsidR="00DA3082">
              <w:t xml:space="preserve"> </w:t>
            </w:r>
            <w:hyperlink r:id="rId16" w:history="1">
              <w:r w:rsidRPr="002D6BC1">
                <w:rPr>
                  <w:rStyle w:val="Hyperlink"/>
                </w:rPr>
                <w:t>62.1-44.15:20</w:t>
              </w:r>
            </w:hyperlink>
            <w:r w:rsidR="002D6BC1">
              <w:t>.</w:t>
            </w:r>
            <w:r w:rsidRPr="00233E6D">
              <w:t>C)</w:t>
            </w:r>
          </w:p>
        </w:tc>
      </w:tr>
      <w:tr w:rsidR="00A11246" w14:paraId="725417E8" w14:textId="77777777" w:rsidTr="00A93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419855D2" w14:textId="77777777" w:rsidR="00A11246" w:rsidRDefault="00A11246" w:rsidP="00A935E9">
            <w:r>
              <w:t>Publication of Public Notice by the Applicant</w:t>
            </w:r>
          </w:p>
        </w:tc>
        <w:tc>
          <w:tcPr>
            <w:tcW w:w="4428" w:type="dxa"/>
          </w:tcPr>
          <w:p w14:paraId="0C213DFF" w14:textId="4855D969" w:rsidR="00A11246" w:rsidRDefault="00A11246" w:rsidP="00A935E9">
            <w:pPr>
              <w:cnfStyle w:val="000000100000" w:firstRow="0" w:lastRow="0" w:firstColumn="0" w:lastColumn="0" w:oddVBand="0" w:evenVBand="0" w:oddHBand="1" w:evenHBand="0" w:firstRowFirstColumn="0" w:firstRowLastColumn="0" w:lastRowFirstColumn="0" w:lastRowLastColumn="0"/>
            </w:pPr>
            <w:r>
              <w:t xml:space="preserve">14 days after </w:t>
            </w:r>
            <w:r w:rsidRPr="003C462D">
              <w:t xml:space="preserve">the applicant's receipt of a draft VWP permit </w:t>
            </w:r>
            <w:r w:rsidRPr="00233E6D">
              <w:t>(</w:t>
            </w:r>
            <w:hyperlink r:id="rId17" w:history="1">
              <w:r w:rsidRPr="00F126BA">
                <w:rPr>
                  <w:rStyle w:val="Hyperlink"/>
                </w:rPr>
                <w:t>9VAC25-210-140</w:t>
              </w:r>
            </w:hyperlink>
            <w:r w:rsidR="00FB2D0F">
              <w:t>.</w:t>
            </w:r>
            <w:r w:rsidRPr="00233E6D">
              <w:t>A)</w:t>
            </w:r>
          </w:p>
        </w:tc>
      </w:tr>
      <w:tr w:rsidR="00A11246" w14:paraId="6E1A4D44" w14:textId="77777777" w:rsidTr="00A935E9">
        <w:trPr>
          <w:jc w:val="center"/>
        </w:trPr>
        <w:tc>
          <w:tcPr>
            <w:cnfStyle w:val="001000000000" w:firstRow="0" w:lastRow="0" w:firstColumn="1" w:lastColumn="0" w:oddVBand="0" w:evenVBand="0" w:oddHBand="0" w:evenHBand="0" w:firstRowFirstColumn="0" w:firstRowLastColumn="0" w:lastRowFirstColumn="0" w:lastRowLastColumn="0"/>
            <w:tcW w:w="4428" w:type="dxa"/>
          </w:tcPr>
          <w:p w14:paraId="1F2608EF" w14:textId="1B7F76E5" w:rsidR="00A11246" w:rsidRDefault="00A11246" w:rsidP="00A935E9">
            <w:r>
              <w:t>Public Notice</w:t>
            </w:r>
            <w:r w:rsidR="006825F9">
              <w:t xml:space="preserve"> and Comment</w:t>
            </w:r>
            <w:r>
              <w:t xml:space="preserve"> Period</w:t>
            </w:r>
          </w:p>
        </w:tc>
        <w:tc>
          <w:tcPr>
            <w:tcW w:w="4428" w:type="dxa"/>
          </w:tcPr>
          <w:p w14:paraId="113170CD" w14:textId="095637DA" w:rsidR="00A11246" w:rsidRPr="00060EC8" w:rsidRDefault="00A11246" w:rsidP="00A935E9">
            <w:pPr>
              <w:cnfStyle w:val="000000000000" w:firstRow="0" w:lastRow="0" w:firstColumn="0" w:lastColumn="0" w:oddVBand="0" w:evenVBand="0" w:oddHBand="0" w:evenHBand="0" w:firstRowFirstColumn="0" w:firstRowLastColumn="0" w:lastRowFirstColumn="0" w:lastRowLastColumn="0"/>
            </w:pPr>
            <w:r>
              <w:t>30 Days</w:t>
            </w:r>
            <w:r w:rsidR="006825F9">
              <w:t>, Minimum</w:t>
            </w:r>
            <w:r w:rsidRPr="00233E6D">
              <w:t xml:space="preserve"> (</w:t>
            </w:r>
            <w:hyperlink r:id="rId18" w:history="1">
              <w:r w:rsidRPr="00AE551B">
                <w:rPr>
                  <w:rStyle w:val="Hyperlink"/>
                </w:rPr>
                <w:t>9VAC25-210-140</w:t>
              </w:r>
            </w:hyperlink>
            <w:r w:rsidR="00C66C99">
              <w:t xml:space="preserve">, </w:t>
            </w:r>
            <w:hyperlink r:id="rId19" w:history="1">
              <w:r w:rsidR="00C66C99" w:rsidRPr="00D32441">
                <w:rPr>
                  <w:rStyle w:val="Hyperlink"/>
                </w:rPr>
                <w:t>-160</w:t>
              </w:r>
            </w:hyperlink>
            <w:r w:rsidR="00C66C99">
              <w:t xml:space="preserve">, </w:t>
            </w:r>
            <w:hyperlink r:id="rId20" w:history="1">
              <w:r w:rsidR="00C66C99" w:rsidRPr="00D32441">
                <w:rPr>
                  <w:rStyle w:val="Hyperlink"/>
                </w:rPr>
                <w:t>-165</w:t>
              </w:r>
            </w:hyperlink>
            <w:r w:rsidRPr="00233E6D">
              <w:t>)</w:t>
            </w:r>
          </w:p>
          <w:p w14:paraId="798B3FC4" w14:textId="597F0544" w:rsidR="00A11246" w:rsidRPr="004619EA" w:rsidRDefault="00DA3082" w:rsidP="00495B1C">
            <w:pPr>
              <w:cnfStyle w:val="000000000000" w:firstRow="0" w:lastRow="0" w:firstColumn="0" w:lastColumn="0" w:oddVBand="0" w:evenVBand="0" w:oddHBand="0" w:evenHBand="0" w:firstRowFirstColumn="0" w:firstRowLastColumn="0" w:lastRowFirstColumn="0" w:lastRowLastColumn="0"/>
              <w:rPr>
                <w:i/>
              </w:rPr>
            </w:pPr>
            <w:r w:rsidRPr="00495B1C">
              <w:rPr>
                <w:i/>
              </w:rPr>
              <w:t>Beginning</w:t>
            </w:r>
            <w:r w:rsidR="00A11246" w:rsidRPr="00495B1C">
              <w:rPr>
                <w:i/>
              </w:rPr>
              <w:t xml:space="preserve"> the day after the public notice is published</w:t>
            </w:r>
          </w:p>
        </w:tc>
      </w:tr>
      <w:tr w:rsidR="00A11246" w14:paraId="04DCDB02" w14:textId="77777777" w:rsidTr="00A93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14:paraId="02132EB4" w14:textId="500E2725" w:rsidR="00A11246" w:rsidRDefault="00A11246" w:rsidP="00A935E9">
            <w:r>
              <w:t>Director’s Decision</w:t>
            </w:r>
          </w:p>
        </w:tc>
        <w:tc>
          <w:tcPr>
            <w:tcW w:w="4428" w:type="dxa"/>
          </w:tcPr>
          <w:p w14:paraId="34F372C1" w14:textId="2F716926" w:rsidR="00A11246" w:rsidRDefault="00A11246" w:rsidP="00A935E9">
            <w:pPr>
              <w:cnfStyle w:val="000000100000" w:firstRow="0" w:lastRow="0" w:firstColumn="0" w:lastColumn="0" w:oddVBand="0" w:evenVBand="0" w:oddHBand="1" w:evenHBand="0" w:firstRowFirstColumn="0" w:firstRowLastColumn="0" w:lastRowFirstColumn="0" w:lastRowLastColumn="0"/>
            </w:pPr>
            <w:r>
              <w:t xml:space="preserve">30 </w:t>
            </w:r>
            <w:r w:rsidRPr="00233E6D">
              <w:t>Days (</w:t>
            </w:r>
            <w:hyperlink r:id="rId21" w:history="1">
              <w:r w:rsidR="00A57193" w:rsidRPr="00D32441">
                <w:rPr>
                  <w:rStyle w:val="Hyperlink"/>
                </w:rPr>
                <w:t>9VAC25-210-16</w:t>
              </w:r>
              <w:r w:rsidR="00FA44DC" w:rsidRPr="00D32441">
                <w:rPr>
                  <w:rStyle w:val="Hyperlink"/>
                </w:rPr>
                <w:t>5</w:t>
              </w:r>
            </w:hyperlink>
            <w:r w:rsidR="00D32441">
              <w:t>.</w:t>
            </w:r>
            <w:r w:rsidR="00C66C99">
              <w:t>C</w:t>
            </w:r>
            <w:r w:rsidRPr="00233E6D">
              <w:t>)</w:t>
            </w:r>
          </w:p>
          <w:p w14:paraId="7A8614E7" w14:textId="0D0E6D61" w:rsidR="00A11246" w:rsidRPr="00027394" w:rsidRDefault="00A11246">
            <w:pPr>
              <w:cnfStyle w:val="000000100000" w:firstRow="0" w:lastRow="0" w:firstColumn="0" w:lastColumn="0" w:oddVBand="0" w:evenVBand="0" w:oddHBand="1" w:evenHBand="0" w:firstRowFirstColumn="0" w:firstRowLastColumn="0" w:lastRowFirstColumn="0" w:lastRowLastColumn="0"/>
              <w:rPr>
                <w:i/>
              </w:rPr>
            </w:pPr>
            <w:r w:rsidRPr="00027394">
              <w:rPr>
                <w:i/>
              </w:rPr>
              <w:t>From the close of the public comment period</w:t>
            </w:r>
          </w:p>
        </w:tc>
      </w:tr>
    </w:tbl>
    <w:p w14:paraId="46073B98" w14:textId="77777777" w:rsidR="00A11246" w:rsidRPr="00AA054B" w:rsidRDefault="00A11246" w:rsidP="00AA054B"/>
    <w:p w14:paraId="1E85FE9A" w14:textId="77777777" w:rsidR="00AA054B" w:rsidRDefault="00AA054B" w:rsidP="00AA054B">
      <w:pPr>
        <w:pStyle w:val="Heading2"/>
      </w:pPr>
      <w:bookmarkStart w:id="4" w:name="_Toc536434585"/>
      <w:bookmarkStart w:id="5" w:name="_Toc179189530"/>
      <w:r>
        <w:lastRenderedPageBreak/>
        <w:t>5.2 Stepwise Individual Permit Review Process</w:t>
      </w:r>
      <w:bookmarkEnd w:id="4"/>
      <w:bookmarkEnd w:id="5"/>
    </w:p>
    <w:p w14:paraId="4E883483" w14:textId="14CEC985" w:rsidR="002D03D1" w:rsidRDefault="002D03D1" w:rsidP="002D03D1">
      <w:r>
        <w:t>The following table may be used by staff to track the processing steps.</w:t>
      </w:r>
    </w:p>
    <w:p w14:paraId="20E6DA18" w14:textId="0E39D49A" w:rsidR="002D03D1" w:rsidRDefault="002D03D1" w:rsidP="00B8362B">
      <w:r w:rsidRPr="002D03D1">
        <w:t xml:space="preserve">Table </w:t>
      </w:r>
      <w:r>
        <w:t>2</w:t>
      </w:r>
      <w:r w:rsidRPr="002D03D1">
        <w:t>: VWP Individual Permit Checklist</w:t>
      </w:r>
    </w:p>
    <w:tbl>
      <w:tblPr>
        <w:tblStyle w:val="TableGrid"/>
        <w:tblW w:w="8998" w:type="dxa"/>
        <w:tblInd w:w="200" w:type="dxa"/>
        <w:tblLayout w:type="fixed"/>
        <w:tblLook w:val="04A0" w:firstRow="1" w:lastRow="0" w:firstColumn="1" w:lastColumn="0" w:noHBand="0" w:noVBand="1"/>
        <w:tblCaption w:val="Table 3: VWP Individual Permit Checklist"/>
        <w:tblDescription w:val="List of steps and items for issuing a VWP individual permit"/>
      </w:tblPr>
      <w:tblGrid>
        <w:gridCol w:w="5218"/>
        <w:gridCol w:w="2340"/>
        <w:gridCol w:w="1440"/>
      </w:tblGrid>
      <w:tr w:rsidR="00E34A14" w:rsidRPr="007A2D80" w14:paraId="3C25499E" w14:textId="77777777" w:rsidTr="00E767C7">
        <w:trPr>
          <w:cantSplit/>
          <w:tblHeader/>
        </w:trPr>
        <w:tc>
          <w:tcPr>
            <w:tcW w:w="5218" w:type="dxa"/>
          </w:tcPr>
          <w:p w14:paraId="74C7DED0" w14:textId="77777777" w:rsidR="00E34A14" w:rsidRPr="007A2D80" w:rsidRDefault="00E34A14" w:rsidP="001632DE">
            <w:pPr>
              <w:pStyle w:val="TOC2"/>
              <w:rPr>
                <w:sz w:val="22"/>
                <w:szCs w:val="22"/>
              </w:rPr>
            </w:pPr>
            <w:r w:rsidRPr="007A2D80">
              <w:rPr>
                <w:sz w:val="22"/>
                <w:szCs w:val="22"/>
              </w:rPr>
              <w:t>Action</w:t>
            </w:r>
          </w:p>
        </w:tc>
        <w:tc>
          <w:tcPr>
            <w:tcW w:w="2340" w:type="dxa"/>
          </w:tcPr>
          <w:p w14:paraId="32BBD1B1" w14:textId="77777777" w:rsidR="00E34A14" w:rsidRPr="007A2D80" w:rsidRDefault="00E34A14" w:rsidP="001632DE">
            <w:pPr>
              <w:pStyle w:val="TOC2"/>
              <w:rPr>
                <w:sz w:val="22"/>
                <w:szCs w:val="22"/>
              </w:rPr>
            </w:pPr>
            <w:r w:rsidRPr="007A2D80">
              <w:rPr>
                <w:sz w:val="22"/>
                <w:szCs w:val="22"/>
              </w:rPr>
              <w:t xml:space="preserve">Reference </w:t>
            </w:r>
          </w:p>
        </w:tc>
        <w:tc>
          <w:tcPr>
            <w:tcW w:w="1440" w:type="dxa"/>
          </w:tcPr>
          <w:p w14:paraId="6A683E27" w14:textId="77777777" w:rsidR="00E34A14" w:rsidRPr="007A2D80" w:rsidRDefault="00E34A14" w:rsidP="001632DE">
            <w:pPr>
              <w:pStyle w:val="TOC2"/>
              <w:rPr>
                <w:sz w:val="22"/>
                <w:szCs w:val="22"/>
              </w:rPr>
            </w:pPr>
            <w:r w:rsidRPr="007A2D80">
              <w:rPr>
                <w:sz w:val="22"/>
                <w:szCs w:val="22"/>
              </w:rPr>
              <w:t>Complete</w:t>
            </w:r>
          </w:p>
        </w:tc>
      </w:tr>
      <w:tr w:rsidR="00E34A14" w:rsidRPr="007A2D80" w14:paraId="7B258A0B" w14:textId="77777777" w:rsidTr="00E767C7">
        <w:trPr>
          <w:cantSplit/>
        </w:trPr>
        <w:tc>
          <w:tcPr>
            <w:tcW w:w="5218" w:type="dxa"/>
          </w:tcPr>
          <w:p w14:paraId="7D85F801" w14:textId="77777777" w:rsidR="00E34A14" w:rsidRPr="007A2D80" w:rsidRDefault="00E34A14" w:rsidP="001632DE">
            <w:pPr>
              <w:pStyle w:val="TOC2"/>
              <w:rPr>
                <w:sz w:val="22"/>
                <w:szCs w:val="22"/>
                <w:lang w:bidi="ar-SA"/>
              </w:rPr>
            </w:pPr>
            <w:r w:rsidRPr="007A2D80">
              <w:rPr>
                <w:sz w:val="22"/>
                <w:szCs w:val="22"/>
              </w:rPr>
              <w:t>Joint Permit Application Review</w:t>
            </w:r>
            <w:r w:rsidRPr="007A2D80">
              <w:rPr>
                <w:webHidden/>
                <w:sz w:val="22"/>
                <w:szCs w:val="22"/>
              </w:rPr>
              <w:t xml:space="preserve"> </w:t>
            </w:r>
          </w:p>
        </w:tc>
        <w:tc>
          <w:tcPr>
            <w:tcW w:w="2340" w:type="dxa"/>
          </w:tcPr>
          <w:p w14:paraId="178834C1" w14:textId="77777777" w:rsidR="00E34A14" w:rsidRPr="007A2D80" w:rsidRDefault="00E34A14" w:rsidP="001632DE">
            <w:pPr>
              <w:pStyle w:val="TOC2"/>
              <w:rPr>
                <w:sz w:val="22"/>
                <w:szCs w:val="22"/>
              </w:rPr>
            </w:pPr>
            <w:r w:rsidRPr="007A2D80">
              <w:rPr>
                <w:sz w:val="22"/>
                <w:szCs w:val="22"/>
              </w:rPr>
              <w:t>Chapter 3</w:t>
            </w:r>
          </w:p>
        </w:tc>
        <w:tc>
          <w:tcPr>
            <w:tcW w:w="1440" w:type="dxa"/>
          </w:tcPr>
          <w:p w14:paraId="5F5C834A" w14:textId="77777777" w:rsidR="00E34A14" w:rsidRPr="007A2D80" w:rsidRDefault="00E34A14" w:rsidP="001632DE">
            <w:pPr>
              <w:pStyle w:val="TOC2"/>
              <w:rPr>
                <w:sz w:val="22"/>
                <w:szCs w:val="22"/>
              </w:rPr>
            </w:pPr>
          </w:p>
        </w:tc>
      </w:tr>
      <w:tr w:rsidR="00E34A14" w:rsidRPr="007A2D80" w14:paraId="2AF40A10" w14:textId="77777777" w:rsidTr="00E767C7">
        <w:trPr>
          <w:cantSplit/>
        </w:trPr>
        <w:tc>
          <w:tcPr>
            <w:tcW w:w="5218" w:type="dxa"/>
          </w:tcPr>
          <w:p w14:paraId="6A2DB1DE" w14:textId="77777777" w:rsidR="00E34A14" w:rsidRPr="007A2D80" w:rsidRDefault="00E34A14" w:rsidP="001632DE">
            <w:pPr>
              <w:pStyle w:val="TOC2"/>
              <w:rPr>
                <w:sz w:val="22"/>
                <w:szCs w:val="22"/>
              </w:rPr>
            </w:pPr>
            <w:r w:rsidRPr="007A2D80">
              <w:rPr>
                <w:sz w:val="22"/>
                <w:szCs w:val="22"/>
                <w:lang w:bidi="ar-SA"/>
              </w:rPr>
              <w:t>Identifying and Quantifying Impacts</w:t>
            </w:r>
          </w:p>
        </w:tc>
        <w:tc>
          <w:tcPr>
            <w:tcW w:w="2340" w:type="dxa"/>
          </w:tcPr>
          <w:p w14:paraId="760D84CF" w14:textId="77777777" w:rsidR="00E34A14" w:rsidRPr="007A2D80" w:rsidRDefault="00E34A14" w:rsidP="001632DE">
            <w:pPr>
              <w:pStyle w:val="TOC2"/>
              <w:rPr>
                <w:sz w:val="22"/>
                <w:szCs w:val="22"/>
              </w:rPr>
            </w:pPr>
            <w:r w:rsidRPr="007A2D80">
              <w:rPr>
                <w:sz w:val="22"/>
                <w:szCs w:val="22"/>
              </w:rPr>
              <w:t>Chapter 3</w:t>
            </w:r>
          </w:p>
        </w:tc>
        <w:tc>
          <w:tcPr>
            <w:tcW w:w="1440" w:type="dxa"/>
          </w:tcPr>
          <w:p w14:paraId="7FAD005E" w14:textId="77777777" w:rsidR="00E34A14" w:rsidRPr="007A2D80" w:rsidRDefault="00E34A14" w:rsidP="001632DE">
            <w:pPr>
              <w:pStyle w:val="TOC2"/>
              <w:rPr>
                <w:sz w:val="22"/>
                <w:szCs w:val="22"/>
              </w:rPr>
            </w:pPr>
          </w:p>
        </w:tc>
      </w:tr>
      <w:tr w:rsidR="00E34A14" w:rsidRPr="007A2D80" w14:paraId="1320DB9B" w14:textId="77777777" w:rsidTr="00E767C7">
        <w:trPr>
          <w:cantSplit/>
        </w:trPr>
        <w:tc>
          <w:tcPr>
            <w:tcW w:w="5218" w:type="dxa"/>
          </w:tcPr>
          <w:p w14:paraId="6F32E1A6" w14:textId="77777777" w:rsidR="00E34A14" w:rsidRPr="007A2D80" w:rsidRDefault="00E34A14" w:rsidP="001632DE">
            <w:pPr>
              <w:pStyle w:val="TOC2"/>
              <w:rPr>
                <w:sz w:val="22"/>
                <w:szCs w:val="22"/>
              </w:rPr>
            </w:pPr>
            <w:r w:rsidRPr="007A2D80">
              <w:rPr>
                <w:noProof/>
                <w:sz w:val="22"/>
                <w:szCs w:val="22"/>
              </w:rPr>
              <w:t>Avoidance and Minimization</w:t>
            </w:r>
          </w:p>
        </w:tc>
        <w:tc>
          <w:tcPr>
            <w:tcW w:w="2340" w:type="dxa"/>
          </w:tcPr>
          <w:p w14:paraId="0E079558" w14:textId="77777777" w:rsidR="00E34A14" w:rsidRPr="007A2D80" w:rsidRDefault="00E34A14" w:rsidP="001632DE">
            <w:pPr>
              <w:pStyle w:val="TOC2"/>
              <w:rPr>
                <w:sz w:val="22"/>
                <w:szCs w:val="22"/>
              </w:rPr>
            </w:pPr>
            <w:r w:rsidRPr="007A2D80">
              <w:rPr>
                <w:sz w:val="22"/>
                <w:szCs w:val="22"/>
              </w:rPr>
              <w:t>Chapter 3</w:t>
            </w:r>
          </w:p>
        </w:tc>
        <w:tc>
          <w:tcPr>
            <w:tcW w:w="1440" w:type="dxa"/>
          </w:tcPr>
          <w:p w14:paraId="53F90425" w14:textId="77777777" w:rsidR="00E34A14" w:rsidRPr="007A2D80" w:rsidRDefault="00E34A14" w:rsidP="001632DE">
            <w:pPr>
              <w:pStyle w:val="TOC2"/>
              <w:rPr>
                <w:sz w:val="22"/>
                <w:szCs w:val="22"/>
              </w:rPr>
            </w:pPr>
          </w:p>
        </w:tc>
      </w:tr>
      <w:tr w:rsidR="00E34A14" w:rsidRPr="007A2D80" w14:paraId="500BBEFE" w14:textId="77777777" w:rsidTr="00E767C7">
        <w:trPr>
          <w:cantSplit/>
        </w:trPr>
        <w:tc>
          <w:tcPr>
            <w:tcW w:w="5218" w:type="dxa"/>
          </w:tcPr>
          <w:p w14:paraId="6E958CD1" w14:textId="77777777" w:rsidR="00E34A14" w:rsidRPr="007A2D80" w:rsidRDefault="00E34A14" w:rsidP="001632DE">
            <w:pPr>
              <w:pStyle w:val="TOC2"/>
              <w:rPr>
                <w:sz w:val="22"/>
                <w:szCs w:val="22"/>
              </w:rPr>
            </w:pPr>
            <w:r w:rsidRPr="007A2D80">
              <w:rPr>
                <w:sz w:val="22"/>
                <w:szCs w:val="22"/>
              </w:rPr>
              <w:t>Additional Information Review and Requests</w:t>
            </w:r>
          </w:p>
        </w:tc>
        <w:tc>
          <w:tcPr>
            <w:tcW w:w="2340" w:type="dxa"/>
          </w:tcPr>
          <w:p w14:paraId="7A482103" w14:textId="77777777" w:rsidR="00E34A14" w:rsidRPr="007A2D80" w:rsidRDefault="00E34A14" w:rsidP="001632DE">
            <w:pPr>
              <w:pStyle w:val="TOC2"/>
              <w:rPr>
                <w:sz w:val="22"/>
                <w:szCs w:val="22"/>
              </w:rPr>
            </w:pPr>
            <w:r w:rsidRPr="007A2D80">
              <w:rPr>
                <w:sz w:val="22"/>
                <w:szCs w:val="22"/>
              </w:rPr>
              <w:t>Chapter 3</w:t>
            </w:r>
          </w:p>
        </w:tc>
        <w:tc>
          <w:tcPr>
            <w:tcW w:w="1440" w:type="dxa"/>
          </w:tcPr>
          <w:p w14:paraId="3C27704B" w14:textId="77777777" w:rsidR="00E34A14" w:rsidRPr="007A2D80" w:rsidRDefault="00E34A14" w:rsidP="001632DE">
            <w:pPr>
              <w:pStyle w:val="TOC2"/>
              <w:rPr>
                <w:sz w:val="22"/>
                <w:szCs w:val="22"/>
              </w:rPr>
            </w:pPr>
          </w:p>
        </w:tc>
      </w:tr>
      <w:tr w:rsidR="00E34A14" w:rsidRPr="007A2D80" w14:paraId="68F3B5AD" w14:textId="77777777" w:rsidTr="00E767C7">
        <w:trPr>
          <w:cantSplit/>
        </w:trPr>
        <w:tc>
          <w:tcPr>
            <w:tcW w:w="5218" w:type="dxa"/>
          </w:tcPr>
          <w:p w14:paraId="6DAAF6A1" w14:textId="77777777" w:rsidR="00E34A14" w:rsidRPr="007A2D80" w:rsidRDefault="00E34A14" w:rsidP="001632DE">
            <w:pPr>
              <w:pStyle w:val="TOC2"/>
              <w:rPr>
                <w:sz w:val="22"/>
                <w:szCs w:val="22"/>
              </w:rPr>
            </w:pPr>
            <w:r w:rsidRPr="007A2D80">
              <w:rPr>
                <w:sz w:val="22"/>
                <w:szCs w:val="22"/>
              </w:rPr>
              <w:t>Site Visit</w:t>
            </w:r>
          </w:p>
        </w:tc>
        <w:tc>
          <w:tcPr>
            <w:tcW w:w="2340" w:type="dxa"/>
          </w:tcPr>
          <w:p w14:paraId="52C46EF4" w14:textId="77777777" w:rsidR="00E34A14" w:rsidRPr="007A2D80" w:rsidRDefault="00E34A14" w:rsidP="001632DE">
            <w:pPr>
              <w:pStyle w:val="TOC2"/>
              <w:rPr>
                <w:sz w:val="22"/>
                <w:szCs w:val="22"/>
              </w:rPr>
            </w:pPr>
            <w:r w:rsidRPr="007A2D80">
              <w:rPr>
                <w:sz w:val="22"/>
                <w:szCs w:val="22"/>
              </w:rPr>
              <w:t>Chapter 3</w:t>
            </w:r>
          </w:p>
        </w:tc>
        <w:tc>
          <w:tcPr>
            <w:tcW w:w="1440" w:type="dxa"/>
          </w:tcPr>
          <w:p w14:paraId="54E17934" w14:textId="77777777" w:rsidR="00E34A14" w:rsidRPr="007A2D80" w:rsidRDefault="00E34A14" w:rsidP="001632DE">
            <w:pPr>
              <w:pStyle w:val="TOC2"/>
              <w:rPr>
                <w:sz w:val="22"/>
                <w:szCs w:val="22"/>
              </w:rPr>
            </w:pPr>
          </w:p>
        </w:tc>
      </w:tr>
      <w:tr w:rsidR="00E34A14" w:rsidRPr="007A2D80" w14:paraId="1748DA01" w14:textId="77777777" w:rsidTr="00E767C7">
        <w:trPr>
          <w:cantSplit/>
        </w:trPr>
        <w:tc>
          <w:tcPr>
            <w:tcW w:w="5218" w:type="dxa"/>
          </w:tcPr>
          <w:p w14:paraId="688D9C5D" w14:textId="77777777" w:rsidR="00E34A14" w:rsidRPr="007A2D80" w:rsidRDefault="00E34A14" w:rsidP="001632DE">
            <w:pPr>
              <w:pStyle w:val="TOC2"/>
              <w:rPr>
                <w:sz w:val="22"/>
                <w:szCs w:val="22"/>
              </w:rPr>
            </w:pPr>
            <w:r w:rsidRPr="007A2D80">
              <w:rPr>
                <w:sz w:val="22"/>
                <w:szCs w:val="22"/>
              </w:rPr>
              <w:t>Determining the Application Fee</w:t>
            </w:r>
          </w:p>
        </w:tc>
        <w:tc>
          <w:tcPr>
            <w:tcW w:w="2340" w:type="dxa"/>
          </w:tcPr>
          <w:p w14:paraId="1BB498EB" w14:textId="77777777" w:rsidR="00E34A14" w:rsidRPr="007A2D80" w:rsidRDefault="00E34A14" w:rsidP="001632DE">
            <w:pPr>
              <w:pStyle w:val="TOC2"/>
              <w:rPr>
                <w:sz w:val="22"/>
                <w:szCs w:val="22"/>
              </w:rPr>
            </w:pPr>
            <w:r w:rsidRPr="007A2D80">
              <w:rPr>
                <w:sz w:val="22"/>
                <w:szCs w:val="22"/>
              </w:rPr>
              <w:t>Chapter 3</w:t>
            </w:r>
          </w:p>
        </w:tc>
        <w:tc>
          <w:tcPr>
            <w:tcW w:w="1440" w:type="dxa"/>
          </w:tcPr>
          <w:p w14:paraId="7A5B2FE2" w14:textId="77777777" w:rsidR="00E34A14" w:rsidRPr="007A2D80" w:rsidRDefault="00E34A14" w:rsidP="001632DE">
            <w:pPr>
              <w:pStyle w:val="TOC2"/>
              <w:rPr>
                <w:sz w:val="22"/>
                <w:szCs w:val="22"/>
              </w:rPr>
            </w:pPr>
          </w:p>
        </w:tc>
      </w:tr>
      <w:tr w:rsidR="00E34A14" w:rsidRPr="007A2D80" w14:paraId="0F520DA0" w14:textId="77777777" w:rsidTr="00E767C7">
        <w:trPr>
          <w:cantSplit/>
        </w:trPr>
        <w:tc>
          <w:tcPr>
            <w:tcW w:w="5218" w:type="dxa"/>
          </w:tcPr>
          <w:p w14:paraId="60E0173A" w14:textId="77777777" w:rsidR="00E34A14" w:rsidRPr="007A2D80" w:rsidRDefault="00E34A14" w:rsidP="001632DE">
            <w:pPr>
              <w:pStyle w:val="TOC2"/>
              <w:rPr>
                <w:sz w:val="22"/>
                <w:szCs w:val="22"/>
              </w:rPr>
            </w:pPr>
            <w:r w:rsidRPr="007A2D80">
              <w:rPr>
                <w:noProof/>
                <w:sz w:val="22"/>
                <w:szCs w:val="22"/>
              </w:rPr>
              <w:t>Compensation</w:t>
            </w:r>
          </w:p>
        </w:tc>
        <w:tc>
          <w:tcPr>
            <w:tcW w:w="2340" w:type="dxa"/>
          </w:tcPr>
          <w:p w14:paraId="0FE7F51F" w14:textId="77777777" w:rsidR="00E34A14" w:rsidRPr="007A2D80" w:rsidRDefault="00E34A14" w:rsidP="001632DE">
            <w:pPr>
              <w:pStyle w:val="TOC2"/>
              <w:rPr>
                <w:sz w:val="22"/>
                <w:szCs w:val="22"/>
              </w:rPr>
            </w:pPr>
            <w:r w:rsidRPr="007A2D80">
              <w:rPr>
                <w:sz w:val="22"/>
                <w:szCs w:val="22"/>
              </w:rPr>
              <w:t>Chapter 3</w:t>
            </w:r>
          </w:p>
        </w:tc>
        <w:tc>
          <w:tcPr>
            <w:tcW w:w="1440" w:type="dxa"/>
          </w:tcPr>
          <w:p w14:paraId="50B37310" w14:textId="77777777" w:rsidR="00E34A14" w:rsidRPr="007A2D80" w:rsidRDefault="00E34A14" w:rsidP="001632DE">
            <w:pPr>
              <w:pStyle w:val="TOC2"/>
              <w:rPr>
                <w:sz w:val="22"/>
                <w:szCs w:val="22"/>
              </w:rPr>
            </w:pPr>
          </w:p>
        </w:tc>
      </w:tr>
      <w:tr w:rsidR="00E34A14" w:rsidRPr="007A2D80" w14:paraId="5BC72B5A" w14:textId="77777777" w:rsidTr="00E767C7">
        <w:trPr>
          <w:cantSplit/>
        </w:trPr>
        <w:tc>
          <w:tcPr>
            <w:tcW w:w="5218" w:type="dxa"/>
          </w:tcPr>
          <w:p w14:paraId="59E15A50" w14:textId="77777777" w:rsidR="00E34A14" w:rsidRPr="007A2D80" w:rsidRDefault="00E34A14" w:rsidP="001632DE">
            <w:pPr>
              <w:pStyle w:val="TOC2"/>
              <w:rPr>
                <w:sz w:val="22"/>
                <w:szCs w:val="22"/>
              </w:rPr>
            </w:pPr>
            <w:r w:rsidRPr="007A2D80">
              <w:rPr>
                <w:sz w:val="22"/>
                <w:szCs w:val="22"/>
              </w:rPr>
              <w:t>State and Federal Agency Coordination</w:t>
            </w:r>
          </w:p>
        </w:tc>
        <w:tc>
          <w:tcPr>
            <w:tcW w:w="2340" w:type="dxa"/>
          </w:tcPr>
          <w:p w14:paraId="355288D4" w14:textId="77777777" w:rsidR="00E34A14" w:rsidRPr="007A2D80" w:rsidRDefault="00E34A14" w:rsidP="001632DE">
            <w:pPr>
              <w:pStyle w:val="TOC2"/>
              <w:rPr>
                <w:sz w:val="22"/>
                <w:szCs w:val="22"/>
              </w:rPr>
            </w:pPr>
            <w:r w:rsidRPr="007A2D80">
              <w:rPr>
                <w:sz w:val="22"/>
                <w:szCs w:val="22"/>
              </w:rPr>
              <w:t>Chapter 3</w:t>
            </w:r>
          </w:p>
        </w:tc>
        <w:tc>
          <w:tcPr>
            <w:tcW w:w="1440" w:type="dxa"/>
          </w:tcPr>
          <w:p w14:paraId="3A57F7B8" w14:textId="77777777" w:rsidR="00E34A14" w:rsidRPr="007A2D80" w:rsidRDefault="00E34A14" w:rsidP="001632DE">
            <w:pPr>
              <w:pStyle w:val="TOC2"/>
              <w:rPr>
                <w:sz w:val="22"/>
                <w:szCs w:val="22"/>
              </w:rPr>
            </w:pPr>
          </w:p>
        </w:tc>
      </w:tr>
      <w:tr w:rsidR="00E34A14" w:rsidRPr="007A2D80" w14:paraId="290C6DA8" w14:textId="77777777" w:rsidTr="00E767C7">
        <w:trPr>
          <w:cantSplit/>
        </w:trPr>
        <w:tc>
          <w:tcPr>
            <w:tcW w:w="5218" w:type="dxa"/>
          </w:tcPr>
          <w:p w14:paraId="02D70FEA" w14:textId="77777777" w:rsidR="00E34A14" w:rsidRPr="007A2D80" w:rsidRDefault="00E34A14" w:rsidP="001632DE">
            <w:pPr>
              <w:pStyle w:val="TOC2"/>
              <w:rPr>
                <w:sz w:val="22"/>
                <w:szCs w:val="22"/>
                <w:lang w:bidi="ar-SA"/>
              </w:rPr>
            </w:pPr>
            <w:r w:rsidRPr="007A2D80">
              <w:rPr>
                <w:sz w:val="22"/>
                <w:szCs w:val="22"/>
              </w:rPr>
              <w:t>Local Government Notification</w:t>
            </w:r>
            <w:r w:rsidRPr="007A2D80">
              <w:rPr>
                <w:webHidden/>
                <w:sz w:val="22"/>
                <w:szCs w:val="22"/>
              </w:rPr>
              <w:fldChar w:fldCharType="begin"/>
            </w:r>
            <w:r w:rsidRPr="007A2D80">
              <w:rPr>
                <w:webHidden/>
                <w:sz w:val="22"/>
                <w:szCs w:val="22"/>
              </w:rPr>
              <w:instrText xml:space="preserve"> PAGEREF _Toc442187393 \h </w:instrText>
            </w:r>
            <w:r w:rsidRPr="007A2D80">
              <w:rPr>
                <w:webHidden/>
                <w:sz w:val="22"/>
                <w:szCs w:val="22"/>
              </w:rPr>
            </w:r>
            <w:r w:rsidRPr="007A2D80">
              <w:rPr>
                <w:webHidden/>
                <w:sz w:val="22"/>
                <w:szCs w:val="22"/>
              </w:rPr>
              <w:fldChar w:fldCharType="end"/>
            </w:r>
          </w:p>
        </w:tc>
        <w:tc>
          <w:tcPr>
            <w:tcW w:w="2340" w:type="dxa"/>
          </w:tcPr>
          <w:p w14:paraId="0F8A2CEC" w14:textId="77777777" w:rsidR="00E34A14" w:rsidRPr="007A2D80" w:rsidRDefault="00E34A14" w:rsidP="001632DE">
            <w:pPr>
              <w:pStyle w:val="TOC2"/>
              <w:rPr>
                <w:sz w:val="22"/>
                <w:szCs w:val="22"/>
              </w:rPr>
            </w:pPr>
            <w:r w:rsidRPr="007A2D80">
              <w:rPr>
                <w:sz w:val="22"/>
                <w:szCs w:val="22"/>
              </w:rPr>
              <w:t>Chapter 5</w:t>
            </w:r>
          </w:p>
        </w:tc>
        <w:tc>
          <w:tcPr>
            <w:tcW w:w="1440" w:type="dxa"/>
          </w:tcPr>
          <w:p w14:paraId="42EA13F5" w14:textId="77777777" w:rsidR="00E34A14" w:rsidRPr="007A2D80" w:rsidRDefault="00E34A14" w:rsidP="001632DE">
            <w:pPr>
              <w:pStyle w:val="TOC2"/>
              <w:rPr>
                <w:sz w:val="22"/>
                <w:szCs w:val="22"/>
              </w:rPr>
            </w:pPr>
          </w:p>
        </w:tc>
      </w:tr>
      <w:tr w:rsidR="00E34A14" w:rsidRPr="007A2D80" w14:paraId="4947A3DC" w14:textId="77777777" w:rsidTr="00FB2D0F">
        <w:trPr>
          <w:cantSplit/>
          <w:trHeight w:val="374"/>
        </w:trPr>
        <w:tc>
          <w:tcPr>
            <w:tcW w:w="5218" w:type="dxa"/>
          </w:tcPr>
          <w:p w14:paraId="5CD77CBA" w14:textId="1FADB7C3" w:rsidR="00E34A14" w:rsidRPr="007A2D80" w:rsidRDefault="00E34A14" w:rsidP="001632DE">
            <w:pPr>
              <w:pStyle w:val="TOC2"/>
              <w:rPr>
                <w:sz w:val="22"/>
                <w:szCs w:val="22"/>
                <w:lang w:bidi="ar-SA"/>
              </w:rPr>
            </w:pPr>
            <w:r w:rsidRPr="007A2D80">
              <w:rPr>
                <w:sz w:val="22"/>
                <w:szCs w:val="22"/>
              </w:rPr>
              <w:t xml:space="preserve">Riparian </w:t>
            </w:r>
            <w:r w:rsidR="00376048">
              <w:rPr>
                <w:sz w:val="22"/>
                <w:szCs w:val="22"/>
              </w:rPr>
              <w:t>Property Owner</w:t>
            </w:r>
            <w:r w:rsidRPr="007A2D80">
              <w:rPr>
                <w:sz w:val="22"/>
                <w:szCs w:val="22"/>
              </w:rPr>
              <w:t xml:space="preserve"> Notification</w:t>
            </w:r>
          </w:p>
        </w:tc>
        <w:tc>
          <w:tcPr>
            <w:tcW w:w="2340" w:type="dxa"/>
          </w:tcPr>
          <w:p w14:paraId="51D8DC56" w14:textId="77777777" w:rsidR="00E34A14" w:rsidRPr="007A2D80" w:rsidRDefault="00E34A14" w:rsidP="001632DE">
            <w:pPr>
              <w:pStyle w:val="TOC2"/>
              <w:rPr>
                <w:sz w:val="22"/>
                <w:szCs w:val="22"/>
              </w:rPr>
            </w:pPr>
            <w:r w:rsidRPr="007A2D80">
              <w:rPr>
                <w:sz w:val="22"/>
                <w:szCs w:val="22"/>
              </w:rPr>
              <w:t>Chapter 5</w:t>
            </w:r>
          </w:p>
        </w:tc>
        <w:tc>
          <w:tcPr>
            <w:tcW w:w="1440" w:type="dxa"/>
          </w:tcPr>
          <w:p w14:paraId="0789B73F" w14:textId="77777777" w:rsidR="00E34A14" w:rsidRPr="007A2D80" w:rsidRDefault="00E34A14" w:rsidP="001632DE">
            <w:pPr>
              <w:pStyle w:val="TOC2"/>
              <w:rPr>
                <w:sz w:val="22"/>
                <w:szCs w:val="22"/>
              </w:rPr>
            </w:pPr>
          </w:p>
        </w:tc>
      </w:tr>
      <w:tr w:rsidR="00E34A14" w:rsidRPr="007A2D80" w14:paraId="24BE4EC4" w14:textId="77777777" w:rsidTr="00FB2D0F">
        <w:trPr>
          <w:cantSplit/>
        </w:trPr>
        <w:tc>
          <w:tcPr>
            <w:tcW w:w="5218" w:type="dxa"/>
          </w:tcPr>
          <w:p w14:paraId="5C65FCB2" w14:textId="77777777" w:rsidR="00E34A14" w:rsidRPr="007A2D80" w:rsidRDefault="00E34A14" w:rsidP="00203F18">
            <w:pPr>
              <w:pStyle w:val="TOC3"/>
              <w:rPr>
                <w:noProof/>
                <w:sz w:val="22"/>
                <w:szCs w:val="22"/>
                <w:lang w:bidi="ar-SA"/>
              </w:rPr>
            </w:pPr>
            <w:r w:rsidRPr="007A2D80">
              <w:rPr>
                <w:noProof/>
                <w:sz w:val="22"/>
                <w:szCs w:val="22"/>
              </w:rPr>
              <w:t>Draft Individual Permit Fact Sheet</w:t>
            </w:r>
          </w:p>
        </w:tc>
        <w:tc>
          <w:tcPr>
            <w:tcW w:w="2340" w:type="dxa"/>
          </w:tcPr>
          <w:p w14:paraId="4F9C2755" w14:textId="77777777" w:rsidR="00E34A14" w:rsidRPr="007A2D80" w:rsidRDefault="00E34A14" w:rsidP="00203F18">
            <w:pPr>
              <w:pStyle w:val="TOC3"/>
              <w:rPr>
                <w:sz w:val="22"/>
                <w:szCs w:val="22"/>
              </w:rPr>
            </w:pPr>
            <w:r w:rsidRPr="007A2D80">
              <w:rPr>
                <w:sz w:val="22"/>
                <w:szCs w:val="22"/>
              </w:rPr>
              <w:t>Chapter 5</w:t>
            </w:r>
          </w:p>
        </w:tc>
        <w:tc>
          <w:tcPr>
            <w:tcW w:w="1440" w:type="dxa"/>
          </w:tcPr>
          <w:p w14:paraId="349DCC95" w14:textId="77777777" w:rsidR="00E34A14" w:rsidRPr="007A2D80" w:rsidRDefault="00E34A14" w:rsidP="00203F18">
            <w:pPr>
              <w:pStyle w:val="TOC3"/>
              <w:rPr>
                <w:sz w:val="22"/>
                <w:szCs w:val="22"/>
              </w:rPr>
            </w:pPr>
          </w:p>
        </w:tc>
      </w:tr>
      <w:tr w:rsidR="00E34A14" w:rsidRPr="007A2D80" w14:paraId="52A751C8" w14:textId="77777777" w:rsidTr="00FB2D0F">
        <w:trPr>
          <w:cantSplit/>
        </w:trPr>
        <w:tc>
          <w:tcPr>
            <w:tcW w:w="5218" w:type="dxa"/>
          </w:tcPr>
          <w:p w14:paraId="33E0787D" w14:textId="77777777" w:rsidR="00E34A14" w:rsidRPr="007A2D80" w:rsidRDefault="00E34A14" w:rsidP="00203F18">
            <w:pPr>
              <w:pStyle w:val="TOC3"/>
              <w:rPr>
                <w:noProof/>
                <w:sz w:val="22"/>
                <w:szCs w:val="22"/>
                <w:lang w:bidi="ar-SA"/>
              </w:rPr>
            </w:pPr>
            <w:r w:rsidRPr="007A2D80">
              <w:rPr>
                <w:noProof/>
                <w:sz w:val="22"/>
                <w:szCs w:val="22"/>
              </w:rPr>
              <w:t>Draft Permit Cover Page</w:t>
            </w:r>
          </w:p>
        </w:tc>
        <w:tc>
          <w:tcPr>
            <w:tcW w:w="2340" w:type="dxa"/>
          </w:tcPr>
          <w:p w14:paraId="457B3198" w14:textId="77777777" w:rsidR="00E34A14" w:rsidRPr="007A2D80" w:rsidRDefault="00E34A14" w:rsidP="00203F18">
            <w:pPr>
              <w:pStyle w:val="TOC3"/>
              <w:rPr>
                <w:sz w:val="22"/>
                <w:szCs w:val="22"/>
              </w:rPr>
            </w:pPr>
            <w:r w:rsidRPr="007A2D80">
              <w:rPr>
                <w:sz w:val="22"/>
                <w:szCs w:val="22"/>
              </w:rPr>
              <w:t>Chapter 5</w:t>
            </w:r>
          </w:p>
        </w:tc>
        <w:tc>
          <w:tcPr>
            <w:tcW w:w="1440" w:type="dxa"/>
          </w:tcPr>
          <w:p w14:paraId="222A7A6C" w14:textId="77777777" w:rsidR="00E34A14" w:rsidRPr="007A2D80" w:rsidRDefault="00E34A14" w:rsidP="00203F18">
            <w:pPr>
              <w:pStyle w:val="TOC3"/>
              <w:rPr>
                <w:sz w:val="22"/>
                <w:szCs w:val="22"/>
              </w:rPr>
            </w:pPr>
          </w:p>
        </w:tc>
      </w:tr>
      <w:tr w:rsidR="00E34A14" w:rsidRPr="007A2D80" w14:paraId="6E94DC52" w14:textId="77777777" w:rsidTr="00FB2D0F">
        <w:trPr>
          <w:cantSplit/>
        </w:trPr>
        <w:tc>
          <w:tcPr>
            <w:tcW w:w="5218" w:type="dxa"/>
          </w:tcPr>
          <w:p w14:paraId="77F9499C" w14:textId="77777777" w:rsidR="00E34A14" w:rsidRPr="007A2D80" w:rsidRDefault="00E34A14" w:rsidP="00203F18">
            <w:pPr>
              <w:pStyle w:val="TOC3"/>
              <w:rPr>
                <w:noProof/>
                <w:sz w:val="22"/>
                <w:szCs w:val="22"/>
                <w:lang w:bidi="ar-SA"/>
              </w:rPr>
            </w:pPr>
            <w:r w:rsidRPr="007A2D80">
              <w:rPr>
                <w:sz w:val="22"/>
                <w:szCs w:val="22"/>
              </w:rPr>
              <w:t xml:space="preserve">Draft </w:t>
            </w:r>
            <w:r w:rsidRPr="007A2D80">
              <w:rPr>
                <w:noProof/>
                <w:sz w:val="22"/>
                <w:szCs w:val="22"/>
              </w:rPr>
              <w:t>Part I - Special Conditions</w:t>
            </w:r>
          </w:p>
        </w:tc>
        <w:tc>
          <w:tcPr>
            <w:tcW w:w="2340" w:type="dxa"/>
          </w:tcPr>
          <w:p w14:paraId="3189CB5A" w14:textId="77777777" w:rsidR="00E34A14" w:rsidRPr="007A2D80" w:rsidRDefault="00E34A14" w:rsidP="00203F18">
            <w:pPr>
              <w:pStyle w:val="TOC3"/>
              <w:rPr>
                <w:sz w:val="22"/>
                <w:szCs w:val="22"/>
              </w:rPr>
            </w:pPr>
            <w:r w:rsidRPr="007A2D80">
              <w:rPr>
                <w:sz w:val="22"/>
                <w:szCs w:val="22"/>
              </w:rPr>
              <w:t>Chapter 5</w:t>
            </w:r>
          </w:p>
        </w:tc>
        <w:tc>
          <w:tcPr>
            <w:tcW w:w="1440" w:type="dxa"/>
          </w:tcPr>
          <w:p w14:paraId="0E4B01E8" w14:textId="77777777" w:rsidR="00E34A14" w:rsidRPr="007A2D80" w:rsidRDefault="00E34A14" w:rsidP="00203F18">
            <w:pPr>
              <w:pStyle w:val="TOC3"/>
              <w:rPr>
                <w:sz w:val="22"/>
                <w:szCs w:val="22"/>
              </w:rPr>
            </w:pPr>
          </w:p>
        </w:tc>
      </w:tr>
      <w:tr w:rsidR="00E34A14" w:rsidRPr="007A2D80" w14:paraId="7E6B713D" w14:textId="77777777" w:rsidTr="00FB2D0F">
        <w:trPr>
          <w:cantSplit/>
        </w:trPr>
        <w:tc>
          <w:tcPr>
            <w:tcW w:w="5218" w:type="dxa"/>
          </w:tcPr>
          <w:p w14:paraId="5FD53B16" w14:textId="77777777" w:rsidR="00E34A14" w:rsidRPr="007A2D80" w:rsidRDefault="00E34A14" w:rsidP="00203F18">
            <w:pPr>
              <w:pStyle w:val="TOC3"/>
              <w:rPr>
                <w:noProof/>
                <w:sz w:val="22"/>
                <w:szCs w:val="22"/>
                <w:lang w:bidi="ar-SA"/>
              </w:rPr>
            </w:pPr>
            <w:r w:rsidRPr="007A2D80">
              <w:rPr>
                <w:sz w:val="22"/>
                <w:szCs w:val="22"/>
              </w:rPr>
              <w:t xml:space="preserve">Draft </w:t>
            </w:r>
            <w:r w:rsidRPr="007A2D80">
              <w:rPr>
                <w:noProof/>
                <w:sz w:val="22"/>
                <w:szCs w:val="22"/>
              </w:rPr>
              <w:t>Part II - General Conditions</w:t>
            </w:r>
          </w:p>
        </w:tc>
        <w:tc>
          <w:tcPr>
            <w:tcW w:w="2340" w:type="dxa"/>
          </w:tcPr>
          <w:p w14:paraId="12489A3B" w14:textId="77777777" w:rsidR="00E34A14" w:rsidRPr="007A2D80" w:rsidRDefault="00E34A14" w:rsidP="00203F18">
            <w:pPr>
              <w:pStyle w:val="TOC3"/>
              <w:rPr>
                <w:sz w:val="22"/>
                <w:szCs w:val="22"/>
              </w:rPr>
            </w:pPr>
            <w:r w:rsidRPr="007A2D80">
              <w:rPr>
                <w:sz w:val="22"/>
                <w:szCs w:val="22"/>
              </w:rPr>
              <w:t>Chapter 5</w:t>
            </w:r>
          </w:p>
        </w:tc>
        <w:tc>
          <w:tcPr>
            <w:tcW w:w="1440" w:type="dxa"/>
          </w:tcPr>
          <w:p w14:paraId="065177BE" w14:textId="77777777" w:rsidR="00E34A14" w:rsidRPr="007A2D80" w:rsidRDefault="00E34A14" w:rsidP="00203F18">
            <w:pPr>
              <w:pStyle w:val="TOC3"/>
              <w:rPr>
                <w:sz w:val="22"/>
                <w:szCs w:val="22"/>
              </w:rPr>
            </w:pPr>
          </w:p>
        </w:tc>
      </w:tr>
      <w:tr w:rsidR="00E34A14" w:rsidRPr="007A2D80" w14:paraId="1A588C0A" w14:textId="77777777" w:rsidTr="00FB2D0F">
        <w:trPr>
          <w:cantSplit/>
        </w:trPr>
        <w:tc>
          <w:tcPr>
            <w:tcW w:w="5218" w:type="dxa"/>
          </w:tcPr>
          <w:p w14:paraId="7AE41A5B" w14:textId="77777777" w:rsidR="00E34A14" w:rsidRPr="007A2D80" w:rsidRDefault="00E34A14" w:rsidP="00203F18">
            <w:pPr>
              <w:pStyle w:val="TOC3"/>
              <w:rPr>
                <w:noProof/>
                <w:sz w:val="22"/>
                <w:szCs w:val="22"/>
                <w:lang w:bidi="ar-SA"/>
              </w:rPr>
            </w:pPr>
            <w:r w:rsidRPr="007A2D80">
              <w:rPr>
                <w:noProof/>
                <w:sz w:val="22"/>
                <w:szCs w:val="22"/>
              </w:rPr>
              <w:t>Public Notice and Public Notice Verification Form</w:t>
            </w:r>
          </w:p>
        </w:tc>
        <w:tc>
          <w:tcPr>
            <w:tcW w:w="2340" w:type="dxa"/>
          </w:tcPr>
          <w:p w14:paraId="1BD4162A" w14:textId="77777777" w:rsidR="00E34A14" w:rsidRPr="007A2D80" w:rsidRDefault="00E34A14" w:rsidP="00203F18">
            <w:pPr>
              <w:pStyle w:val="TOC3"/>
              <w:rPr>
                <w:sz w:val="22"/>
                <w:szCs w:val="22"/>
              </w:rPr>
            </w:pPr>
            <w:r w:rsidRPr="007A2D80">
              <w:rPr>
                <w:sz w:val="22"/>
                <w:szCs w:val="22"/>
              </w:rPr>
              <w:t>Chapter 5</w:t>
            </w:r>
          </w:p>
        </w:tc>
        <w:tc>
          <w:tcPr>
            <w:tcW w:w="1440" w:type="dxa"/>
          </w:tcPr>
          <w:p w14:paraId="3262FB89" w14:textId="77777777" w:rsidR="00E34A14" w:rsidRPr="007A2D80" w:rsidRDefault="00E34A14" w:rsidP="00203F18">
            <w:pPr>
              <w:pStyle w:val="TOC3"/>
              <w:rPr>
                <w:sz w:val="22"/>
                <w:szCs w:val="22"/>
              </w:rPr>
            </w:pPr>
          </w:p>
        </w:tc>
      </w:tr>
      <w:tr w:rsidR="00E34A14" w:rsidRPr="007A2D80" w14:paraId="31FDD08D" w14:textId="77777777" w:rsidTr="00FB2D0F">
        <w:trPr>
          <w:cantSplit/>
        </w:trPr>
        <w:tc>
          <w:tcPr>
            <w:tcW w:w="5218" w:type="dxa"/>
          </w:tcPr>
          <w:p w14:paraId="52012A3B" w14:textId="77777777" w:rsidR="00E34A14" w:rsidRPr="007A2D80" w:rsidRDefault="00E34A14" w:rsidP="00203F18">
            <w:pPr>
              <w:pStyle w:val="TOC3"/>
              <w:rPr>
                <w:noProof/>
                <w:sz w:val="22"/>
                <w:szCs w:val="22"/>
                <w:lang w:bidi="ar-SA"/>
              </w:rPr>
            </w:pPr>
            <w:r w:rsidRPr="007A2D80">
              <w:rPr>
                <w:noProof/>
                <w:sz w:val="22"/>
                <w:szCs w:val="22"/>
              </w:rPr>
              <w:t>Public Notice Transmittal Letter</w:t>
            </w:r>
          </w:p>
        </w:tc>
        <w:tc>
          <w:tcPr>
            <w:tcW w:w="2340" w:type="dxa"/>
          </w:tcPr>
          <w:p w14:paraId="11BE0808" w14:textId="77777777" w:rsidR="00E34A14" w:rsidRPr="007A2D80" w:rsidRDefault="00E34A14" w:rsidP="00203F18">
            <w:pPr>
              <w:pStyle w:val="TOC3"/>
              <w:rPr>
                <w:sz w:val="22"/>
                <w:szCs w:val="22"/>
              </w:rPr>
            </w:pPr>
            <w:r w:rsidRPr="007A2D80">
              <w:rPr>
                <w:sz w:val="22"/>
                <w:szCs w:val="22"/>
              </w:rPr>
              <w:t>Chapter 5</w:t>
            </w:r>
          </w:p>
        </w:tc>
        <w:tc>
          <w:tcPr>
            <w:tcW w:w="1440" w:type="dxa"/>
          </w:tcPr>
          <w:p w14:paraId="4246D247" w14:textId="77777777" w:rsidR="00E34A14" w:rsidRPr="007A2D80" w:rsidRDefault="00E34A14" w:rsidP="00203F18">
            <w:pPr>
              <w:pStyle w:val="TOC3"/>
              <w:rPr>
                <w:sz w:val="22"/>
                <w:szCs w:val="22"/>
              </w:rPr>
            </w:pPr>
          </w:p>
        </w:tc>
      </w:tr>
      <w:tr w:rsidR="00E34A14" w:rsidRPr="007A2D80" w14:paraId="15DA94DE" w14:textId="77777777" w:rsidTr="00FB2D0F">
        <w:trPr>
          <w:cantSplit/>
        </w:trPr>
        <w:tc>
          <w:tcPr>
            <w:tcW w:w="5218" w:type="dxa"/>
          </w:tcPr>
          <w:p w14:paraId="71367422" w14:textId="77777777" w:rsidR="00E34A14" w:rsidRPr="007A2D80" w:rsidRDefault="00E34A14" w:rsidP="00203F18">
            <w:pPr>
              <w:pStyle w:val="TOC3"/>
              <w:rPr>
                <w:noProof/>
                <w:sz w:val="22"/>
                <w:szCs w:val="22"/>
                <w:lang w:bidi="ar-SA"/>
              </w:rPr>
            </w:pPr>
            <w:r w:rsidRPr="007A2D80">
              <w:rPr>
                <w:noProof/>
                <w:sz w:val="22"/>
                <w:szCs w:val="22"/>
              </w:rPr>
              <w:t>Review of Draft Permit Package</w:t>
            </w:r>
          </w:p>
        </w:tc>
        <w:tc>
          <w:tcPr>
            <w:tcW w:w="2340" w:type="dxa"/>
          </w:tcPr>
          <w:p w14:paraId="51121E0F" w14:textId="77777777" w:rsidR="00E34A14" w:rsidRPr="007A2D80" w:rsidRDefault="00E34A14" w:rsidP="00203F18">
            <w:pPr>
              <w:pStyle w:val="TOC3"/>
              <w:rPr>
                <w:sz w:val="22"/>
                <w:szCs w:val="22"/>
              </w:rPr>
            </w:pPr>
            <w:r w:rsidRPr="007A2D80">
              <w:rPr>
                <w:sz w:val="22"/>
                <w:szCs w:val="22"/>
              </w:rPr>
              <w:t>Chapter 5</w:t>
            </w:r>
          </w:p>
        </w:tc>
        <w:tc>
          <w:tcPr>
            <w:tcW w:w="1440" w:type="dxa"/>
          </w:tcPr>
          <w:p w14:paraId="3F17F9E5" w14:textId="77777777" w:rsidR="00E34A14" w:rsidRPr="007A2D80" w:rsidRDefault="00E34A14" w:rsidP="00203F18">
            <w:pPr>
              <w:pStyle w:val="TOC3"/>
              <w:rPr>
                <w:sz w:val="22"/>
                <w:szCs w:val="22"/>
              </w:rPr>
            </w:pPr>
          </w:p>
        </w:tc>
      </w:tr>
      <w:tr w:rsidR="00E34A14" w:rsidRPr="007A2D80" w14:paraId="5796D33F" w14:textId="77777777" w:rsidTr="00FB2D0F">
        <w:trPr>
          <w:cantSplit/>
        </w:trPr>
        <w:tc>
          <w:tcPr>
            <w:tcW w:w="5218" w:type="dxa"/>
          </w:tcPr>
          <w:p w14:paraId="7D8DD7D8" w14:textId="77777777" w:rsidR="00E34A14" w:rsidRPr="007A2D80" w:rsidRDefault="00E34A14" w:rsidP="00203F18">
            <w:pPr>
              <w:pStyle w:val="TOC3"/>
              <w:rPr>
                <w:noProof/>
                <w:sz w:val="22"/>
                <w:szCs w:val="22"/>
                <w:lang w:bidi="ar-SA"/>
              </w:rPr>
            </w:pPr>
            <w:r w:rsidRPr="007A2D80">
              <w:rPr>
                <w:noProof/>
                <w:sz w:val="22"/>
                <w:szCs w:val="22"/>
              </w:rPr>
              <w:t>Public Notice Notification</w:t>
            </w:r>
          </w:p>
        </w:tc>
        <w:tc>
          <w:tcPr>
            <w:tcW w:w="2340" w:type="dxa"/>
          </w:tcPr>
          <w:p w14:paraId="459E7972" w14:textId="77777777" w:rsidR="00E34A14" w:rsidRPr="007A2D80" w:rsidRDefault="00E34A14" w:rsidP="00203F18">
            <w:pPr>
              <w:pStyle w:val="TOC3"/>
              <w:rPr>
                <w:sz w:val="22"/>
                <w:szCs w:val="22"/>
              </w:rPr>
            </w:pPr>
            <w:r w:rsidRPr="007A2D80">
              <w:rPr>
                <w:sz w:val="22"/>
                <w:szCs w:val="22"/>
              </w:rPr>
              <w:t>9VAC25-210-140</w:t>
            </w:r>
          </w:p>
        </w:tc>
        <w:tc>
          <w:tcPr>
            <w:tcW w:w="1440" w:type="dxa"/>
          </w:tcPr>
          <w:p w14:paraId="6BA5ED8B" w14:textId="77777777" w:rsidR="00E34A14" w:rsidRPr="007A2D80" w:rsidRDefault="00E34A14" w:rsidP="00203F18">
            <w:pPr>
              <w:pStyle w:val="TOC3"/>
              <w:rPr>
                <w:sz w:val="22"/>
                <w:szCs w:val="22"/>
              </w:rPr>
            </w:pPr>
          </w:p>
        </w:tc>
      </w:tr>
      <w:tr w:rsidR="00E34A14" w:rsidRPr="007A2D80" w14:paraId="16DF09FD" w14:textId="77777777" w:rsidTr="00FB2D0F">
        <w:trPr>
          <w:cantSplit/>
        </w:trPr>
        <w:tc>
          <w:tcPr>
            <w:tcW w:w="5218" w:type="dxa"/>
          </w:tcPr>
          <w:p w14:paraId="50330B80" w14:textId="77777777" w:rsidR="00E34A14" w:rsidRPr="007A2D80" w:rsidRDefault="00E34A14" w:rsidP="00203F18">
            <w:pPr>
              <w:pStyle w:val="TOC3"/>
              <w:rPr>
                <w:noProof/>
                <w:sz w:val="22"/>
                <w:szCs w:val="22"/>
                <w:lang w:bidi="ar-SA"/>
              </w:rPr>
            </w:pPr>
            <w:r w:rsidRPr="007A2D80">
              <w:rPr>
                <w:noProof/>
                <w:sz w:val="22"/>
                <w:szCs w:val="22"/>
              </w:rPr>
              <w:t>Public Notice Verification</w:t>
            </w:r>
          </w:p>
        </w:tc>
        <w:tc>
          <w:tcPr>
            <w:tcW w:w="2340" w:type="dxa"/>
          </w:tcPr>
          <w:p w14:paraId="514D11C1" w14:textId="77777777" w:rsidR="00E34A14" w:rsidRPr="007A2D80" w:rsidRDefault="00E34A14" w:rsidP="00203F18">
            <w:pPr>
              <w:pStyle w:val="TOC3"/>
              <w:rPr>
                <w:sz w:val="22"/>
                <w:szCs w:val="22"/>
              </w:rPr>
            </w:pPr>
            <w:r w:rsidRPr="007A2D80">
              <w:rPr>
                <w:sz w:val="22"/>
                <w:szCs w:val="22"/>
              </w:rPr>
              <w:t>Chapter 5</w:t>
            </w:r>
          </w:p>
        </w:tc>
        <w:tc>
          <w:tcPr>
            <w:tcW w:w="1440" w:type="dxa"/>
          </w:tcPr>
          <w:p w14:paraId="14AEF44E" w14:textId="77777777" w:rsidR="00E34A14" w:rsidRPr="007A2D80" w:rsidRDefault="00E34A14" w:rsidP="00203F18">
            <w:pPr>
              <w:pStyle w:val="TOC3"/>
              <w:rPr>
                <w:sz w:val="22"/>
                <w:szCs w:val="22"/>
              </w:rPr>
            </w:pPr>
          </w:p>
        </w:tc>
      </w:tr>
      <w:tr w:rsidR="00E34A14" w:rsidRPr="007A2D80" w14:paraId="2AC6C536" w14:textId="77777777" w:rsidTr="00FB2D0F">
        <w:trPr>
          <w:cantSplit/>
        </w:trPr>
        <w:tc>
          <w:tcPr>
            <w:tcW w:w="5218" w:type="dxa"/>
          </w:tcPr>
          <w:p w14:paraId="058EE47D" w14:textId="77777777" w:rsidR="00E34A14" w:rsidRPr="007A2D80" w:rsidRDefault="00E34A14" w:rsidP="00203F18">
            <w:pPr>
              <w:pStyle w:val="TOC3"/>
              <w:rPr>
                <w:noProof/>
                <w:sz w:val="22"/>
                <w:szCs w:val="22"/>
                <w:lang w:bidi="ar-SA"/>
              </w:rPr>
            </w:pPr>
            <w:r w:rsidRPr="007A2D80">
              <w:rPr>
                <w:noProof/>
                <w:sz w:val="22"/>
                <w:szCs w:val="22"/>
              </w:rPr>
              <w:t>30 Day Public Comment Period, Public Comment Review and Response</w:t>
            </w:r>
          </w:p>
        </w:tc>
        <w:tc>
          <w:tcPr>
            <w:tcW w:w="2340" w:type="dxa"/>
          </w:tcPr>
          <w:p w14:paraId="55E03E04" w14:textId="77777777" w:rsidR="00E34A14" w:rsidRPr="007A2D80" w:rsidRDefault="00E86793" w:rsidP="00203F18">
            <w:pPr>
              <w:pStyle w:val="TOC3"/>
              <w:rPr>
                <w:sz w:val="22"/>
                <w:szCs w:val="22"/>
              </w:rPr>
            </w:pPr>
            <w:hyperlink r:id="rId22" w:history="1">
              <w:r w:rsidR="00E34A14" w:rsidRPr="007A2D80">
                <w:rPr>
                  <w:rStyle w:val="Hyperlink"/>
                  <w:sz w:val="22"/>
                  <w:szCs w:val="22"/>
                </w:rPr>
                <w:t>9VAC25-210-140</w:t>
              </w:r>
            </w:hyperlink>
            <w:r w:rsidR="00E34A14" w:rsidRPr="007A2D80">
              <w:rPr>
                <w:sz w:val="22"/>
                <w:szCs w:val="22"/>
              </w:rPr>
              <w:t xml:space="preserve">, </w:t>
            </w:r>
            <w:hyperlink r:id="rId23" w:history="1">
              <w:r w:rsidR="00E34A14" w:rsidRPr="007A2D80">
                <w:rPr>
                  <w:rStyle w:val="Hyperlink"/>
                  <w:sz w:val="22"/>
                  <w:szCs w:val="22"/>
                </w:rPr>
                <w:t>-160</w:t>
              </w:r>
            </w:hyperlink>
            <w:r w:rsidR="00E34A14" w:rsidRPr="007A2D80">
              <w:rPr>
                <w:sz w:val="22"/>
                <w:szCs w:val="22"/>
              </w:rPr>
              <w:t xml:space="preserve"> and -</w:t>
            </w:r>
            <w:hyperlink r:id="rId24" w:history="1">
              <w:r w:rsidR="00E34A14" w:rsidRPr="007A2D80">
                <w:rPr>
                  <w:rStyle w:val="Hyperlink"/>
                  <w:sz w:val="22"/>
                  <w:szCs w:val="22"/>
                </w:rPr>
                <w:t>165</w:t>
              </w:r>
            </w:hyperlink>
          </w:p>
        </w:tc>
        <w:tc>
          <w:tcPr>
            <w:tcW w:w="1440" w:type="dxa"/>
          </w:tcPr>
          <w:p w14:paraId="16B7F88C" w14:textId="77777777" w:rsidR="00E34A14" w:rsidRPr="007A2D80" w:rsidRDefault="00E34A14" w:rsidP="00203F18">
            <w:pPr>
              <w:pStyle w:val="TOC3"/>
              <w:rPr>
                <w:sz w:val="22"/>
                <w:szCs w:val="22"/>
              </w:rPr>
            </w:pPr>
          </w:p>
        </w:tc>
      </w:tr>
      <w:tr w:rsidR="00E34A14" w:rsidRPr="007A2D80" w14:paraId="28BC3660" w14:textId="77777777" w:rsidTr="00FB2D0F">
        <w:trPr>
          <w:cantSplit/>
        </w:trPr>
        <w:tc>
          <w:tcPr>
            <w:tcW w:w="5218" w:type="dxa"/>
          </w:tcPr>
          <w:p w14:paraId="268884DB" w14:textId="77777777" w:rsidR="00E34A14" w:rsidRPr="007A2D80" w:rsidRDefault="00E34A14" w:rsidP="00203F18">
            <w:pPr>
              <w:pStyle w:val="TOC3"/>
              <w:rPr>
                <w:noProof/>
                <w:sz w:val="22"/>
                <w:szCs w:val="22"/>
              </w:rPr>
            </w:pPr>
            <w:r w:rsidRPr="007A2D80">
              <w:rPr>
                <w:noProof/>
                <w:sz w:val="22"/>
                <w:szCs w:val="22"/>
              </w:rPr>
              <w:t>Permit Finalization and Issuance</w:t>
            </w:r>
          </w:p>
        </w:tc>
        <w:tc>
          <w:tcPr>
            <w:tcW w:w="2340" w:type="dxa"/>
          </w:tcPr>
          <w:p w14:paraId="5E5D9009" w14:textId="77777777" w:rsidR="00E34A14" w:rsidRPr="007A2D80" w:rsidRDefault="00E34A14" w:rsidP="00203F18">
            <w:pPr>
              <w:pStyle w:val="TOC3"/>
              <w:rPr>
                <w:rFonts w:eastAsia="Times New Roman"/>
                <w:sz w:val="22"/>
                <w:szCs w:val="22"/>
              </w:rPr>
            </w:pPr>
            <w:r w:rsidRPr="007A2D80">
              <w:rPr>
                <w:sz w:val="22"/>
                <w:szCs w:val="22"/>
              </w:rPr>
              <w:t>9VAC25-210-165, Chapter 5</w:t>
            </w:r>
          </w:p>
        </w:tc>
        <w:tc>
          <w:tcPr>
            <w:tcW w:w="1440" w:type="dxa"/>
          </w:tcPr>
          <w:p w14:paraId="466B983D" w14:textId="77777777" w:rsidR="00E34A14" w:rsidRPr="007A2D80" w:rsidRDefault="00E34A14" w:rsidP="00203F18">
            <w:pPr>
              <w:pStyle w:val="TOC3"/>
              <w:rPr>
                <w:sz w:val="22"/>
                <w:szCs w:val="22"/>
              </w:rPr>
            </w:pPr>
          </w:p>
        </w:tc>
      </w:tr>
      <w:tr w:rsidR="00E34A14" w:rsidRPr="007A2D80" w14:paraId="7CDA998A" w14:textId="77777777" w:rsidTr="00FB2D0F">
        <w:trPr>
          <w:cantSplit/>
        </w:trPr>
        <w:tc>
          <w:tcPr>
            <w:tcW w:w="5218" w:type="dxa"/>
          </w:tcPr>
          <w:p w14:paraId="577ECF06" w14:textId="77777777" w:rsidR="00E34A14" w:rsidRPr="007A2D80" w:rsidRDefault="00E34A14" w:rsidP="001632DE">
            <w:pPr>
              <w:pStyle w:val="TOC2"/>
              <w:rPr>
                <w:sz w:val="22"/>
                <w:szCs w:val="22"/>
                <w:lang w:bidi="ar-SA"/>
              </w:rPr>
            </w:pPr>
            <w:r w:rsidRPr="007A2D80">
              <w:rPr>
                <w:sz w:val="22"/>
                <w:szCs w:val="22"/>
              </w:rPr>
              <w:t>Denial of an Individual Permit Application</w:t>
            </w:r>
          </w:p>
        </w:tc>
        <w:tc>
          <w:tcPr>
            <w:tcW w:w="2340" w:type="dxa"/>
          </w:tcPr>
          <w:p w14:paraId="36D90454" w14:textId="77777777" w:rsidR="00E34A14" w:rsidRPr="007A2D80" w:rsidRDefault="00E34A14" w:rsidP="001632DE">
            <w:pPr>
              <w:pStyle w:val="TOC2"/>
              <w:rPr>
                <w:sz w:val="22"/>
                <w:szCs w:val="22"/>
              </w:rPr>
            </w:pPr>
            <w:r w:rsidRPr="007A2D80">
              <w:rPr>
                <w:sz w:val="22"/>
                <w:szCs w:val="22"/>
              </w:rPr>
              <w:t>9VAC25-210-160, 165, and -</w:t>
            </w:r>
            <w:hyperlink r:id="rId25" w:history="1">
              <w:r w:rsidRPr="007A2D80">
                <w:rPr>
                  <w:rStyle w:val="Hyperlink"/>
                  <w:sz w:val="22"/>
                  <w:szCs w:val="22"/>
                </w:rPr>
                <w:t>230</w:t>
              </w:r>
            </w:hyperlink>
          </w:p>
        </w:tc>
        <w:tc>
          <w:tcPr>
            <w:tcW w:w="1440" w:type="dxa"/>
          </w:tcPr>
          <w:p w14:paraId="3E87DA9D" w14:textId="77777777" w:rsidR="00E34A14" w:rsidRPr="007A2D80" w:rsidRDefault="00E34A14" w:rsidP="001632DE">
            <w:pPr>
              <w:pStyle w:val="TOC2"/>
              <w:rPr>
                <w:sz w:val="22"/>
                <w:szCs w:val="22"/>
              </w:rPr>
            </w:pPr>
          </w:p>
        </w:tc>
      </w:tr>
      <w:tr w:rsidR="00E34A14" w:rsidRPr="007A2D80" w14:paraId="080FA14F" w14:textId="77777777" w:rsidTr="00FB2D0F">
        <w:trPr>
          <w:cantSplit/>
        </w:trPr>
        <w:tc>
          <w:tcPr>
            <w:tcW w:w="5218" w:type="dxa"/>
          </w:tcPr>
          <w:p w14:paraId="69414189" w14:textId="77777777" w:rsidR="00E34A14" w:rsidRPr="007A2D80" w:rsidRDefault="00E34A14" w:rsidP="00203F18">
            <w:pPr>
              <w:pStyle w:val="TOC3"/>
              <w:rPr>
                <w:noProof/>
                <w:sz w:val="22"/>
                <w:szCs w:val="22"/>
                <w:lang w:bidi="ar-SA"/>
              </w:rPr>
            </w:pPr>
            <w:r w:rsidRPr="007A2D80">
              <w:rPr>
                <w:noProof/>
                <w:sz w:val="22"/>
                <w:szCs w:val="22"/>
              </w:rPr>
              <w:t>Denial Notification to Applicant</w:t>
            </w:r>
          </w:p>
        </w:tc>
        <w:tc>
          <w:tcPr>
            <w:tcW w:w="2340" w:type="dxa"/>
          </w:tcPr>
          <w:p w14:paraId="077C0F19" w14:textId="77777777" w:rsidR="00E34A14" w:rsidRPr="007A2D80" w:rsidRDefault="00E34A14" w:rsidP="00203F18">
            <w:pPr>
              <w:pStyle w:val="TOC3"/>
              <w:rPr>
                <w:sz w:val="22"/>
                <w:szCs w:val="22"/>
              </w:rPr>
            </w:pPr>
            <w:r w:rsidRPr="007A2D80">
              <w:rPr>
                <w:sz w:val="22"/>
                <w:szCs w:val="22"/>
              </w:rPr>
              <w:t>9VAC25-210-230</w:t>
            </w:r>
          </w:p>
        </w:tc>
        <w:tc>
          <w:tcPr>
            <w:tcW w:w="1440" w:type="dxa"/>
          </w:tcPr>
          <w:p w14:paraId="3D5BDBE4" w14:textId="77777777" w:rsidR="00E34A14" w:rsidRPr="007A2D80" w:rsidRDefault="00E34A14" w:rsidP="00203F18">
            <w:pPr>
              <w:pStyle w:val="TOC3"/>
              <w:rPr>
                <w:sz w:val="22"/>
                <w:szCs w:val="22"/>
              </w:rPr>
            </w:pPr>
          </w:p>
        </w:tc>
      </w:tr>
      <w:tr w:rsidR="00E34A14" w:rsidRPr="007A2D80" w14:paraId="02AEC777" w14:textId="77777777" w:rsidTr="00FB2D0F">
        <w:trPr>
          <w:cantSplit/>
          <w:trHeight w:val="350"/>
        </w:trPr>
        <w:tc>
          <w:tcPr>
            <w:tcW w:w="5218" w:type="dxa"/>
          </w:tcPr>
          <w:p w14:paraId="5AAC0141" w14:textId="77777777" w:rsidR="00E34A14" w:rsidRPr="007A2D80" w:rsidRDefault="00E34A14" w:rsidP="00203F18">
            <w:pPr>
              <w:pStyle w:val="TOC3"/>
              <w:rPr>
                <w:noProof/>
                <w:sz w:val="22"/>
                <w:szCs w:val="22"/>
                <w:lang w:bidi="ar-SA"/>
              </w:rPr>
            </w:pPr>
            <w:r w:rsidRPr="007A2D80">
              <w:rPr>
                <w:noProof/>
                <w:sz w:val="22"/>
                <w:szCs w:val="22"/>
                <w:lang w:bidi="ar-SA"/>
              </w:rPr>
              <w:t>Public Notice to Deny Permit</w:t>
            </w:r>
          </w:p>
        </w:tc>
        <w:tc>
          <w:tcPr>
            <w:tcW w:w="2340" w:type="dxa"/>
          </w:tcPr>
          <w:p w14:paraId="13B9053D" w14:textId="77777777" w:rsidR="00E34A14" w:rsidRPr="007A2D80" w:rsidRDefault="00E34A14" w:rsidP="00203F18">
            <w:pPr>
              <w:pStyle w:val="TOC3"/>
              <w:rPr>
                <w:sz w:val="22"/>
                <w:szCs w:val="22"/>
              </w:rPr>
            </w:pPr>
            <w:r w:rsidRPr="007A2D80">
              <w:rPr>
                <w:sz w:val="22"/>
                <w:szCs w:val="22"/>
              </w:rPr>
              <w:t xml:space="preserve">9VAC25-210-230, Section </w:t>
            </w:r>
            <w:hyperlink r:id="rId26" w:history="1">
              <w:r w:rsidRPr="007A2D80">
                <w:rPr>
                  <w:rStyle w:val="Hyperlink"/>
                  <w:sz w:val="22"/>
                  <w:szCs w:val="22"/>
                </w:rPr>
                <w:t>62.1-44.15:21</w:t>
              </w:r>
            </w:hyperlink>
            <w:r w:rsidRPr="007A2D80">
              <w:rPr>
                <w:sz w:val="22"/>
                <w:szCs w:val="22"/>
              </w:rPr>
              <w:t>.E</w:t>
            </w:r>
          </w:p>
        </w:tc>
        <w:tc>
          <w:tcPr>
            <w:tcW w:w="1440" w:type="dxa"/>
          </w:tcPr>
          <w:p w14:paraId="3C0ABAD8" w14:textId="77777777" w:rsidR="00E34A14" w:rsidRPr="007A2D80" w:rsidRDefault="00E34A14" w:rsidP="00203F18">
            <w:pPr>
              <w:pStyle w:val="TOC3"/>
              <w:rPr>
                <w:sz w:val="22"/>
                <w:szCs w:val="22"/>
              </w:rPr>
            </w:pPr>
          </w:p>
        </w:tc>
      </w:tr>
    </w:tbl>
    <w:p w14:paraId="5064AFA6" w14:textId="77777777" w:rsidR="00E34A14" w:rsidRDefault="00E34A14" w:rsidP="00AA054B">
      <w:pPr>
        <w:jc w:val="both"/>
      </w:pPr>
    </w:p>
    <w:p w14:paraId="15851F42" w14:textId="2A3DD37B" w:rsidR="00AA054B" w:rsidRDefault="00AA054B" w:rsidP="00AA054B">
      <w:pPr>
        <w:jc w:val="both"/>
      </w:pPr>
      <w:r>
        <w:t>Application review is further detailed in Chapter 3. Appendix A of Chapter 3 describes review, review timelines, informational requirements, public notice procedures, and other details for special permitting situations for VDOT, solid waste facility, and certain natural gas projects.</w:t>
      </w:r>
    </w:p>
    <w:p w14:paraId="2F0CDB21" w14:textId="77777777" w:rsidR="00AA054B" w:rsidRPr="003A2677" w:rsidRDefault="00AA054B" w:rsidP="00AA054B">
      <w:pPr>
        <w:jc w:val="both"/>
        <w:rPr>
          <w:b/>
          <w:u w:val="single"/>
        </w:rPr>
      </w:pPr>
      <w:r w:rsidRPr="003A2677">
        <w:rPr>
          <w:b/>
          <w:u w:val="single"/>
        </w:rPr>
        <w:t>Step</w:t>
      </w:r>
      <w:r>
        <w:rPr>
          <w:b/>
          <w:u w:val="single"/>
        </w:rPr>
        <w:t xml:space="preserve"> </w:t>
      </w:r>
      <w:r w:rsidRPr="003A2677">
        <w:rPr>
          <w:b/>
          <w:u w:val="single"/>
        </w:rPr>
        <w:t>1: Administrative Duties</w:t>
      </w:r>
    </w:p>
    <w:p w14:paraId="1B3F44A7" w14:textId="77777777" w:rsidR="00AA054B" w:rsidRPr="0041315F" w:rsidRDefault="00AA054B" w:rsidP="0041315F">
      <w:pPr>
        <w:pStyle w:val="ListParagraph"/>
        <w:numPr>
          <w:ilvl w:val="0"/>
          <w:numId w:val="1"/>
        </w:numPr>
        <w:jc w:val="both"/>
        <w:rPr>
          <w:sz w:val="22"/>
          <w:szCs w:val="22"/>
        </w:rPr>
      </w:pPr>
      <w:r w:rsidRPr="0041315F">
        <w:rPr>
          <w:sz w:val="22"/>
          <w:szCs w:val="22"/>
        </w:rPr>
        <w:t>Complete CEDS Core Entry (See CEDS Manual for details).</w:t>
      </w:r>
    </w:p>
    <w:p w14:paraId="65396EF7" w14:textId="77777777" w:rsidR="00AA054B" w:rsidRPr="0041315F" w:rsidRDefault="00AA054B" w:rsidP="0041315F">
      <w:pPr>
        <w:pStyle w:val="ListParagraph"/>
        <w:numPr>
          <w:ilvl w:val="0"/>
          <w:numId w:val="1"/>
        </w:numPr>
        <w:jc w:val="both"/>
        <w:rPr>
          <w:sz w:val="22"/>
          <w:szCs w:val="22"/>
        </w:rPr>
      </w:pPr>
      <w:r w:rsidRPr="0041315F">
        <w:rPr>
          <w:sz w:val="22"/>
          <w:szCs w:val="22"/>
        </w:rPr>
        <w:t>Make a copy of each IP template from the Chapter 5 Templates folder and save to the applicable project file on your office server.</w:t>
      </w:r>
    </w:p>
    <w:p w14:paraId="6762F1B0" w14:textId="77777777" w:rsidR="005E7EE3" w:rsidRPr="00841B90" w:rsidRDefault="005E7EE3" w:rsidP="005E7EE3">
      <w:r w:rsidRPr="00841B90">
        <w:rPr>
          <w:b/>
          <w:u w:val="single"/>
        </w:rPr>
        <w:t>Step 2: Review for Complete Application</w:t>
      </w:r>
    </w:p>
    <w:p w14:paraId="59DEE5B8" w14:textId="63930764" w:rsidR="005E7EE3" w:rsidRPr="0041315F" w:rsidRDefault="005E7EE3" w:rsidP="00890236">
      <w:pPr>
        <w:pStyle w:val="ListParagraph"/>
        <w:numPr>
          <w:ilvl w:val="0"/>
          <w:numId w:val="2"/>
        </w:numPr>
        <w:jc w:val="both"/>
        <w:rPr>
          <w:sz w:val="22"/>
          <w:szCs w:val="22"/>
        </w:rPr>
      </w:pPr>
      <w:r w:rsidRPr="0041315F">
        <w:rPr>
          <w:sz w:val="22"/>
          <w:szCs w:val="22"/>
        </w:rPr>
        <w:lastRenderedPageBreak/>
        <w:t xml:space="preserve">Go through checklist </w:t>
      </w:r>
      <w:hyperlink r:id="rId27" w:history="1">
        <w:r w:rsidRPr="00522239">
          <w:rPr>
            <w:rStyle w:val="Hyperlink"/>
            <w:sz w:val="22"/>
            <w:szCs w:val="22"/>
          </w:rPr>
          <w:t>9VAC25-210-80</w:t>
        </w:r>
      </w:hyperlink>
      <w:r w:rsidR="00522239">
        <w:rPr>
          <w:sz w:val="22"/>
          <w:szCs w:val="22"/>
        </w:rPr>
        <w:t>.</w:t>
      </w:r>
      <w:r w:rsidRPr="0041315F">
        <w:rPr>
          <w:sz w:val="22"/>
          <w:szCs w:val="22"/>
        </w:rPr>
        <w:t xml:space="preserve">B and </w:t>
      </w:r>
      <w:r w:rsidR="00522239">
        <w:rPr>
          <w:sz w:val="22"/>
          <w:szCs w:val="22"/>
        </w:rPr>
        <w:t>-</w:t>
      </w:r>
      <w:r w:rsidRPr="0041315F">
        <w:rPr>
          <w:sz w:val="22"/>
          <w:szCs w:val="22"/>
        </w:rPr>
        <w:t>C.</w:t>
      </w:r>
    </w:p>
    <w:p w14:paraId="571FBC8D" w14:textId="17BF409F" w:rsidR="005E7EE3" w:rsidRPr="0041315F" w:rsidRDefault="005E7EE3" w:rsidP="00890236">
      <w:pPr>
        <w:pStyle w:val="ListParagraph"/>
        <w:numPr>
          <w:ilvl w:val="0"/>
          <w:numId w:val="2"/>
        </w:numPr>
        <w:jc w:val="both"/>
        <w:rPr>
          <w:sz w:val="22"/>
          <w:szCs w:val="22"/>
        </w:rPr>
      </w:pPr>
      <w:r w:rsidRPr="0041315F">
        <w:rPr>
          <w:sz w:val="22"/>
          <w:szCs w:val="22"/>
        </w:rPr>
        <w:t xml:space="preserve">Carefully assess </w:t>
      </w:r>
      <w:r w:rsidR="003A576D">
        <w:rPr>
          <w:sz w:val="22"/>
          <w:szCs w:val="22"/>
        </w:rPr>
        <w:t xml:space="preserve">project purpose and need, </w:t>
      </w:r>
      <w:r w:rsidRPr="0041315F">
        <w:rPr>
          <w:sz w:val="22"/>
          <w:szCs w:val="22"/>
        </w:rPr>
        <w:t>avoidance and minimization</w:t>
      </w:r>
      <w:r w:rsidR="003A576D">
        <w:rPr>
          <w:sz w:val="22"/>
          <w:szCs w:val="22"/>
        </w:rPr>
        <w:t xml:space="preserve"> (including off-site alternatives)</w:t>
      </w:r>
      <w:r w:rsidRPr="0041315F">
        <w:rPr>
          <w:sz w:val="22"/>
          <w:szCs w:val="22"/>
        </w:rPr>
        <w:t>, proposed compensation, as well as potential secondary impacts.</w:t>
      </w:r>
    </w:p>
    <w:p w14:paraId="77915EF6" w14:textId="77777777" w:rsidR="005E7EE3" w:rsidRPr="0041315F" w:rsidRDefault="005E7EE3" w:rsidP="00890236">
      <w:pPr>
        <w:pStyle w:val="ListParagraph"/>
        <w:numPr>
          <w:ilvl w:val="0"/>
          <w:numId w:val="2"/>
        </w:numPr>
        <w:jc w:val="both"/>
        <w:rPr>
          <w:sz w:val="22"/>
          <w:szCs w:val="22"/>
        </w:rPr>
      </w:pPr>
      <w:r w:rsidRPr="0041315F">
        <w:rPr>
          <w:sz w:val="22"/>
          <w:szCs w:val="22"/>
        </w:rPr>
        <w:t>If applicable, identify items needed to complete the permit application.</w:t>
      </w:r>
    </w:p>
    <w:p w14:paraId="1EF4F93B" w14:textId="5F163CFB" w:rsidR="005E7EE3" w:rsidRPr="001822D2" w:rsidRDefault="005E7EE3" w:rsidP="00890236">
      <w:pPr>
        <w:pStyle w:val="ListParagraph"/>
        <w:numPr>
          <w:ilvl w:val="0"/>
          <w:numId w:val="2"/>
        </w:numPr>
        <w:jc w:val="both"/>
        <w:rPr>
          <w:sz w:val="22"/>
          <w:szCs w:val="22"/>
        </w:rPr>
      </w:pPr>
      <w:r w:rsidRPr="0041315F">
        <w:rPr>
          <w:sz w:val="22"/>
          <w:szCs w:val="22"/>
        </w:rPr>
        <w:t>Schedule and conduct a site visit of the proposed project location, as necessary. Ensure properly completed Site Access Form has been submitted (</w:t>
      </w:r>
      <w:r w:rsidR="002F2835">
        <w:rPr>
          <w:sz w:val="22"/>
          <w:szCs w:val="22"/>
        </w:rPr>
        <w:t>s</w:t>
      </w:r>
      <w:r w:rsidRPr="0041315F">
        <w:rPr>
          <w:sz w:val="22"/>
          <w:szCs w:val="22"/>
        </w:rPr>
        <w:t xml:space="preserve">ee </w:t>
      </w:r>
      <w:r w:rsidR="002F2835">
        <w:rPr>
          <w:sz w:val="22"/>
          <w:szCs w:val="22"/>
        </w:rPr>
        <w:t>subs</w:t>
      </w:r>
      <w:r w:rsidRPr="001822D2">
        <w:rPr>
          <w:sz w:val="22"/>
          <w:szCs w:val="22"/>
        </w:rPr>
        <w:t>ection 3.1.</w:t>
      </w:r>
      <w:r w:rsidR="002F2835">
        <w:rPr>
          <w:sz w:val="22"/>
          <w:szCs w:val="22"/>
        </w:rPr>
        <w:t>6</w:t>
      </w:r>
      <w:r w:rsidRPr="001822D2">
        <w:rPr>
          <w:sz w:val="22"/>
          <w:szCs w:val="22"/>
        </w:rPr>
        <w:t xml:space="preserve"> and</w:t>
      </w:r>
      <w:r w:rsidRPr="0041315F">
        <w:rPr>
          <w:sz w:val="22"/>
          <w:szCs w:val="22"/>
        </w:rPr>
        <w:t xml:space="preserve"> </w:t>
      </w:r>
      <w:r w:rsidRPr="001822D2">
        <w:rPr>
          <w:sz w:val="22"/>
          <w:szCs w:val="22"/>
        </w:rPr>
        <w:t xml:space="preserve"> Appendix A</w:t>
      </w:r>
      <w:r w:rsidR="0085506B">
        <w:rPr>
          <w:sz w:val="22"/>
          <w:szCs w:val="22"/>
        </w:rPr>
        <w:t xml:space="preserve"> of Chapter 3</w:t>
      </w:r>
      <w:r w:rsidRPr="001822D2">
        <w:rPr>
          <w:sz w:val="22"/>
          <w:szCs w:val="22"/>
        </w:rPr>
        <w:t>).</w:t>
      </w:r>
    </w:p>
    <w:p w14:paraId="370A1BA2" w14:textId="77777777" w:rsidR="005E7EE3" w:rsidRPr="005E7EE3" w:rsidRDefault="005E7EE3" w:rsidP="005E7EE3">
      <w:pPr>
        <w:rPr>
          <w:b/>
          <w:u w:val="single"/>
        </w:rPr>
      </w:pPr>
      <w:r w:rsidRPr="005E7EE3">
        <w:rPr>
          <w:b/>
          <w:u w:val="single"/>
        </w:rPr>
        <w:t>Step 3: Determining the Permit Application Fee</w:t>
      </w:r>
    </w:p>
    <w:p w14:paraId="19D2EF78" w14:textId="77777777" w:rsidR="005E7EE3" w:rsidRPr="0041315F" w:rsidRDefault="005E7EE3" w:rsidP="005E7EE3">
      <w:pPr>
        <w:pStyle w:val="ListParagraph"/>
        <w:numPr>
          <w:ilvl w:val="0"/>
          <w:numId w:val="2"/>
        </w:numPr>
        <w:jc w:val="both"/>
        <w:rPr>
          <w:sz w:val="22"/>
          <w:szCs w:val="22"/>
        </w:rPr>
      </w:pPr>
      <w:r w:rsidRPr="0041315F">
        <w:rPr>
          <w:sz w:val="22"/>
          <w:szCs w:val="22"/>
        </w:rPr>
        <w:t>Determine the fee owed by the applicant.</w:t>
      </w:r>
    </w:p>
    <w:p w14:paraId="4C398B5C" w14:textId="77777777" w:rsidR="005E7EE3" w:rsidRDefault="005E7EE3" w:rsidP="005E7EE3">
      <w:pPr>
        <w:rPr>
          <w:b/>
          <w:u w:val="single"/>
        </w:rPr>
      </w:pPr>
      <w:r>
        <w:rPr>
          <w:b/>
          <w:u w:val="single"/>
        </w:rPr>
        <w:t>Step 4: Additional Information Requests</w:t>
      </w:r>
    </w:p>
    <w:p w14:paraId="56A42E2C" w14:textId="7D55D6BD" w:rsidR="005E7EE3" w:rsidRPr="002D03D1" w:rsidRDefault="005E7EE3" w:rsidP="0041315F">
      <w:pPr>
        <w:pStyle w:val="ListParagraph"/>
        <w:numPr>
          <w:ilvl w:val="0"/>
          <w:numId w:val="4"/>
        </w:numPr>
        <w:jc w:val="both"/>
        <w:rPr>
          <w:sz w:val="22"/>
          <w:szCs w:val="22"/>
        </w:rPr>
      </w:pPr>
      <w:r w:rsidRPr="0041315F">
        <w:rPr>
          <w:sz w:val="22"/>
          <w:szCs w:val="22"/>
        </w:rPr>
        <w:t xml:space="preserve">Request additional information identified during the </w:t>
      </w:r>
      <w:r w:rsidR="003A576D">
        <w:rPr>
          <w:sz w:val="22"/>
          <w:szCs w:val="22"/>
        </w:rPr>
        <w:t xml:space="preserve">application </w:t>
      </w:r>
      <w:r w:rsidRPr="0041315F">
        <w:rPr>
          <w:sz w:val="22"/>
          <w:szCs w:val="22"/>
        </w:rPr>
        <w:t xml:space="preserve">review process that is needed to complete the permit application or provide DEQ with necessary information to assist in the Agency’s review of the application, including the permit fee. Staff may request additional information </w:t>
      </w:r>
      <w:r w:rsidR="00871244">
        <w:rPr>
          <w:sz w:val="22"/>
          <w:szCs w:val="22"/>
        </w:rPr>
        <w:t xml:space="preserve">as </w:t>
      </w:r>
      <w:r w:rsidRPr="0041315F">
        <w:rPr>
          <w:sz w:val="22"/>
          <w:szCs w:val="22"/>
        </w:rPr>
        <w:t xml:space="preserve">identified in </w:t>
      </w:r>
      <w:hyperlink r:id="rId28" w:history="1">
        <w:r w:rsidRPr="00522239">
          <w:rPr>
            <w:rStyle w:val="Hyperlink"/>
            <w:sz w:val="22"/>
            <w:szCs w:val="22"/>
          </w:rPr>
          <w:t>9VAC25-210-80</w:t>
        </w:r>
      </w:hyperlink>
      <w:r w:rsidR="00522239">
        <w:rPr>
          <w:sz w:val="22"/>
          <w:szCs w:val="22"/>
        </w:rPr>
        <w:t>.</w:t>
      </w:r>
      <w:r w:rsidRPr="0041315F">
        <w:rPr>
          <w:sz w:val="22"/>
          <w:szCs w:val="22"/>
        </w:rPr>
        <w:t>B</w:t>
      </w:r>
      <w:r w:rsidR="003A576D">
        <w:rPr>
          <w:sz w:val="22"/>
          <w:szCs w:val="22"/>
        </w:rPr>
        <w:t>,</w:t>
      </w:r>
      <w:r w:rsidRPr="0041315F">
        <w:rPr>
          <w:sz w:val="22"/>
          <w:szCs w:val="22"/>
        </w:rPr>
        <w:t xml:space="preserve"> if the information is necessary to facilitate review of the proposed project or issue a permit. It is important to identify, to the best of your ability, all subject areas that will require additional information or clarification. To the maximum extent practicable, subsequent information requests should not introduce entirely new topics for which </w:t>
      </w:r>
      <w:r w:rsidRPr="002D03D1">
        <w:rPr>
          <w:sz w:val="22"/>
          <w:szCs w:val="22"/>
        </w:rPr>
        <w:t>information is needed.</w:t>
      </w:r>
    </w:p>
    <w:p w14:paraId="738C4172" w14:textId="35AD27F5" w:rsidR="005E7EE3" w:rsidRPr="002D03D1" w:rsidRDefault="00890236" w:rsidP="0041315F">
      <w:pPr>
        <w:pStyle w:val="ListParagraph"/>
        <w:numPr>
          <w:ilvl w:val="0"/>
          <w:numId w:val="4"/>
        </w:numPr>
        <w:jc w:val="both"/>
        <w:rPr>
          <w:sz w:val="22"/>
          <w:szCs w:val="22"/>
        </w:rPr>
      </w:pPr>
      <w:r w:rsidRPr="002D03D1">
        <w:rPr>
          <w:sz w:val="22"/>
          <w:szCs w:val="22"/>
        </w:rPr>
        <w:t>Typically,</w:t>
      </w:r>
      <w:r w:rsidR="005E7EE3" w:rsidRPr="002D03D1">
        <w:rPr>
          <w:sz w:val="22"/>
          <w:szCs w:val="22"/>
        </w:rPr>
        <w:t xml:space="preserve"> the applicant is provided </w:t>
      </w:r>
      <w:r w:rsidR="00144068">
        <w:rPr>
          <w:sz w:val="22"/>
          <w:szCs w:val="22"/>
        </w:rPr>
        <w:t>15</w:t>
      </w:r>
      <w:r w:rsidR="005E7EE3" w:rsidRPr="002D03D1">
        <w:rPr>
          <w:sz w:val="22"/>
          <w:szCs w:val="22"/>
        </w:rPr>
        <w:t xml:space="preserve"> days from the date of the add info request to provide the additional information. Additional time may be </w:t>
      </w:r>
      <w:r w:rsidR="00144068">
        <w:rPr>
          <w:sz w:val="22"/>
          <w:szCs w:val="22"/>
        </w:rPr>
        <w:t>necessary</w:t>
      </w:r>
      <w:r w:rsidR="005E7EE3" w:rsidRPr="002D03D1">
        <w:rPr>
          <w:sz w:val="22"/>
          <w:szCs w:val="22"/>
        </w:rPr>
        <w:t>.</w:t>
      </w:r>
    </w:p>
    <w:p w14:paraId="66B7AF18" w14:textId="44533A0E" w:rsidR="005E7EE3" w:rsidRPr="002D03D1" w:rsidRDefault="005E7EE3" w:rsidP="0041315F">
      <w:pPr>
        <w:pStyle w:val="ListParagraph"/>
        <w:numPr>
          <w:ilvl w:val="0"/>
          <w:numId w:val="4"/>
        </w:numPr>
        <w:jc w:val="both"/>
        <w:rPr>
          <w:rFonts w:cstheme="minorHAnsi"/>
          <w:sz w:val="22"/>
          <w:szCs w:val="22"/>
        </w:rPr>
      </w:pPr>
      <w:r w:rsidRPr="002D03D1">
        <w:rPr>
          <w:sz w:val="22"/>
          <w:szCs w:val="22"/>
        </w:rPr>
        <w:t xml:space="preserve">Review the additional information to ensure the submission fulfills the additional information request. If the permit writer determines that further information is still outstanding, additional information request(s) will be required until all requested material is provided to </w:t>
      </w:r>
      <w:r w:rsidRPr="002D03D1">
        <w:rPr>
          <w:rFonts w:cstheme="minorHAnsi"/>
          <w:sz w:val="22"/>
          <w:szCs w:val="22"/>
        </w:rPr>
        <w:t xml:space="preserve">DEQ. </w:t>
      </w:r>
      <w:r w:rsidR="00ED170F" w:rsidRPr="002D03D1">
        <w:rPr>
          <w:rFonts w:cstheme="minorHAnsi"/>
          <w:color w:val="444444"/>
          <w:sz w:val="22"/>
          <w:szCs w:val="22"/>
        </w:rPr>
        <w:t xml:space="preserve">An incomplete application for an individual permit or general permit coverage may be administratively withdrawn from processing by the </w:t>
      </w:r>
      <w:r w:rsidR="00A57193">
        <w:rPr>
          <w:rFonts w:cstheme="minorHAnsi"/>
          <w:color w:val="444444"/>
          <w:sz w:val="22"/>
          <w:szCs w:val="22"/>
        </w:rPr>
        <w:t>department</w:t>
      </w:r>
      <w:r w:rsidR="00ED170F" w:rsidRPr="002D03D1">
        <w:rPr>
          <w:rFonts w:cstheme="minorHAnsi"/>
          <w:color w:val="444444"/>
          <w:sz w:val="22"/>
          <w:szCs w:val="22"/>
        </w:rPr>
        <w:t xml:space="preserve"> for failure to provide the required information after 60 days from the date of the latest written information request made by the </w:t>
      </w:r>
      <w:r w:rsidR="00A57193">
        <w:rPr>
          <w:rFonts w:cstheme="minorHAnsi"/>
          <w:color w:val="444444"/>
          <w:sz w:val="22"/>
          <w:szCs w:val="22"/>
        </w:rPr>
        <w:t>department</w:t>
      </w:r>
      <w:r w:rsidR="00ED170F" w:rsidRPr="002D03D1">
        <w:rPr>
          <w:rFonts w:cstheme="minorHAnsi"/>
          <w:color w:val="444444"/>
          <w:sz w:val="22"/>
          <w:szCs w:val="22"/>
        </w:rPr>
        <w:t>. (</w:t>
      </w:r>
      <w:hyperlink r:id="rId29" w:history="1">
        <w:r w:rsidR="00ED170F" w:rsidRPr="00522239">
          <w:rPr>
            <w:rStyle w:val="Hyperlink"/>
            <w:rFonts w:cstheme="minorHAnsi"/>
            <w:sz w:val="22"/>
            <w:szCs w:val="22"/>
          </w:rPr>
          <w:t>9VAC25-210-80</w:t>
        </w:r>
      </w:hyperlink>
      <w:r w:rsidR="00522239">
        <w:rPr>
          <w:rFonts w:cstheme="minorHAnsi"/>
          <w:color w:val="444444"/>
          <w:sz w:val="22"/>
          <w:szCs w:val="22"/>
        </w:rPr>
        <w:t>.</w:t>
      </w:r>
      <w:r w:rsidR="00ED170F" w:rsidRPr="002D03D1">
        <w:rPr>
          <w:rFonts w:cstheme="minorHAnsi"/>
          <w:color w:val="444444"/>
          <w:sz w:val="22"/>
          <w:szCs w:val="22"/>
        </w:rPr>
        <w:t>D</w:t>
      </w:r>
      <w:r w:rsidR="00522239">
        <w:rPr>
          <w:rFonts w:cstheme="minorHAnsi"/>
          <w:color w:val="444444"/>
          <w:sz w:val="22"/>
          <w:szCs w:val="22"/>
        </w:rPr>
        <w:t>.</w:t>
      </w:r>
      <w:r w:rsidR="00ED170F" w:rsidRPr="002D03D1">
        <w:rPr>
          <w:rFonts w:cstheme="minorHAnsi"/>
          <w:color w:val="444444"/>
          <w:sz w:val="22"/>
          <w:szCs w:val="22"/>
        </w:rPr>
        <w:t>2)</w:t>
      </w:r>
    </w:p>
    <w:p w14:paraId="2FC50F26" w14:textId="09D551E1" w:rsidR="005E7EE3" w:rsidRPr="0041315F" w:rsidRDefault="005E7EE3" w:rsidP="0041315F">
      <w:pPr>
        <w:pStyle w:val="ListParagraph"/>
        <w:numPr>
          <w:ilvl w:val="0"/>
          <w:numId w:val="4"/>
        </w:numPr>
        <w:jc w:val="both"/>
        <w:rPr>
          <w:sz w:val="22"/>
          <w:szCs w:val="22"/>
        </w:rPr>
      </w:pPr>
      <w:r w:rsidRPr="002D03D1">
        <w:rPr>
          <w:sz w:val="22"/>
          <w:szCs w:val="22"/>
        </w:rPr>
        <w:t xml:space="preserve">The </w:t>
      </w:r>
      <w:r w:rsidR="00890236" w:rsidRPr="002D03D1">
        <w:rPr>
          <w:sz w:val="22"/>
          <w:szCs w:val="22"/>
        </w:rPr>
        <w:t>120-day</w:t>
      </w:r>
      <w:r w:rsidRPr="002D03D1">
        <w:rPr>
          <w:sz w:val="22"/>
          <w:szCs w:val="22"/>
        </w:rPr>
        <w:t xml:space="preserve"> processing deadline does not begin until all information</w:t>
      </w:r>
      <w:r w:rsidRPr="0041315F">
        <w:rPr>
          <w:sz w:val="22"/>
          <w:szCs w:val="22"/>
        </w:rPr>
        <w:t xml:space="preserve"> required by </w:t>
      </w:r>
      <w:hyperlink r:id="rId30" w:history="1">
        <w:r w:rsidRPr="00522239">
          <w:rPr>
            <w:rStyle w:val="Hyperlink"/>
            <w:sz w:val="22"/>
            <w:szCs w:val="22"/>
          </w:rPr>
          <w:t>9VAC25-210-80</w:t>
        </w:r>
      </w:hyperlink>
      <w:r w:rsidR="00522239">
        <w:rPr>
          <w:sz w:val="22"/>
          <w:szCs w:val="22"/>
        </w:rPr>
        <w:t>.</w:t>
      </w:r>
      <w:r w:rsidRPr="0041315F">
        <w:rPr>
          <w:sz w:val="22"/>
          <w:szCs w:val="22"/>
        </w:rPr>
        <w:t>B has been received.</w:t>
      </w:r>
    </w:p>
    <w:p w14:paraId="35E30011" w14:textId="5B5C7613" w:rsidR="005E7EE3" w:rsidRPr="009D6881" w:rsidRDefault="005E7EE3" w:rsidP="005E7EE3">
      <w:pPr>
        <w:rPr>
          <w:b/>
          <w:u w:val="single"/>
        </w:rPr>
      </w:pPr>
      <w:r w:rsidRPr="009D6881">
        <w:rPr>
          <w:b/>
          <w:u w:val="single"/>
        </w:rPr>
        <w:t xml:space="preserve">Step 5: Local Government and </w:t>
      </w:r>
      <w:r w:rsidR="002C536B" w:rsidRPr="009D6881">
        <w:rPr>
          <w:b/>
          <w:u w:val="single"/>
        </w:rPr>
        <w:t>Property Owner</w:t>
      </w:r>
      <w:r w:rsidRPr="009D6881">
        <w:rPr>
          <w:b/>
          <w:u w:val="single"/>
        </w:rPr>
        <w:t xml:space="preserve"> Notifications</w:t>
      </w:r>
      <w:r w:rsidRPr="009D6881">
        <w:rPr>
          <w:rFonts w:eastAsia="Times New Roman"/>
        </w:rPr>
        <w:t xml:space="preserve"> </w:t>
      </w:r>
    </w:p>
    <w:p w14:paraId="60866F28" w14:textId="245FCBC2" w:rsidR="005E7EE3" w:rsidRPr="009D6881" w:rsidRDefault="005E7EE3" w:rsidP="00890236">
      <w:pPr>
        <w:pStyle w:val="ListParagraph"/>
        <w:numPr>
          <w:ilvl w:val="0"/>
          <w:numId w:val="5"/>
        </w:numPr>
        <w:jc w:val="both"/>
        <w:rPr>
          <w:sz w:val="22"/>
          <w:szCs w:val="22"/>
        </w:rPr>
      </w:pPr>
      <w:r w:rsidRPr="009D6881">
        <w:rPr>
          <w:sz w:val="22"/>
          <w:szCs w:val="22"/>
        </w:rPr>
        <w:t xml:space="preserve">Notify County/Local Government Administrators </w:t>
      </w:r>
      <w:r w:rsidR="0023241E" w:rsidRPr="009D6881">
        <w:rPr>
          <w:sz w:val="22"/>
          <w:szCs w:val="22"/>
        </w:rPr>
        <w:t xml:space="preserve">and </w:t>
      </w:r>
      <w:r w:rsidR="00C21CF0" w:rsidRPr="009D6881">
        <w:rPr>
          <w:sz w:val="22"/>
          <w:szCs w:val="22"/>
        </w:rPr>
        <w:t xml:space="preserve">property owners </w:t>
      </w:r>
      <w:r w:rsidR="003A576D" w:rsidRPr="009D6881">
        <w:rPr>
          <w:sz w:val="22"/>
          <w:szCs w:val="22"/>
        </w:rPr>
        <w:t>as detailed in Sections 5.5 and 5.6</w:t>
      </w:r>
      <w:r w:rsidR="00C21CF0" w:rsidRPr="009D6881">
        <w:rPr>
          <w:sz w:val="22"/>
          <w:szCs w:val="22"/>
        </w:rPr>
        <w:t>, respectively</w:t>
      </w:r>
      <w:r w:rsidR="003A576D" w:rsidRPr="009D6881">
        <w:rPr>
          <w:sz w:val="22"/>
          <w:szCs w:val="22"/>
        </w:rPr>
        <w:t>.</w:t>
      </w:r>
    </w:p>
    <w:p w14:paraId="275037A9" w14:textId="4D4438A1" w:rsidR="00B975E1" w:rsidRPr="009D6881" w:rsidRDefault="00B975E1" w:rsidP="00890236">
      <w:pPr>
        <w:pStyle w:val="ListParagraph"/>
        <w:numPr>
          <w:ilvl w:val="0"/>
          <w:numId w:val="5"/>
        </w:numPr>
        <w:jc w:val="both"/>
        <w:rPr>
          <w:sz w:val="22"/>
          <w:szCs w:val="22"/>
        </w:rPr>
      </w:pPr>
      <w:r w:rsidRPr="009D6881">
        <w:rPr>
          <w:sz w:val="22"/>
          <w:szCs w:val="22"/>
        </w:rPr>
        <w:t xml:space="preserve">Notify </w:t>
      </w:r>
      <w:r w:rsidRPr="009D6881">
        <w:rPr>
          <w:i/>
          <w:iCs/>
          <w:sz w:val="22"/>
          <w:szCs w:val="22"/>
          <w:u w:val="single"/>
        </w:rPr>
        <w:t>riparian</w:t>
      </w:r>
      <w:r w:rsidRPr="009D6881">
        <w:rPr>
          <w:sz w:val="22"/>
          <w:szCs w:val="22"/>
        </w:rPr>
        <w:t xml:space="preserve"> </w:t>
      </w:r>
      <w:r w:rsidR="00B1580B" w:rsidRPr="009D6881">
        <w:rPr>
          <w:sz w:val="22"/>
          <w:szCs w:val="22"/>
        </w:rPr>
        <w:t>property owner</w:t>
      </w:r>
      <w:r w:rsidRPr="009D6881">
        <w:rPr>
          <w:sz w:val="22"/>
          <w:szCs w:val="22"/>
        </w:rPr>
        <w:t>s</w:t>
      </w:r>
      <w:r w:rsidR="00326125" w:rsidRPr="009D6881">
        <w:rPr>
          <w:sz w:val="22"/>
          <w:szCs w:val="22"/>
        </w:rPr>
        <w:t xml:space="preserve"> </w:t>
      </w:r>
      <w:r w:rsidR="005E0E19" w:rsidRPr="009D6881">
        <w:rPr>
          <w:sz w:val="22"/>
          <w:szCs w:val="22"/>
        </w:rPr>
        <w:t>(</w:t>
      </w:r>
      <w:r w:rsidR="00326125" w:rsidRPr="009D6881">
        <w:rPr>
          <w:sz w:val="22"/>
          <w:szCs w:val="22"/>
        </w:rPr>
        <w:t>§ 62.1-44.15:4</w:t>
      </w:r>
      <w:r w:rsidR="001C0E30" w:rsidRPr="009D6881">
        <w:rPr>
          <w:sz w:val="22"/>
          <w:szCs w:val="22"/>
        </w:rPr>
        <w:t>.D</w:t>
      </w:r>
      <w:r w:rsidR="005E0E19" w:rsidRPr="009D6881">
        <w:rPr>
          <w:sz w:val="22"/>
          <w:szCs w:val="22"/>
        </w:rPr>
        <w:t>)</w:t>
      </w:r>
      <w:r w:rsidRPr="009D6881">
        <w:rPr>
          <w:sz w:val="22"/>
          <w:szCs w:val="22"/>
        </w:rPr>
        <w:t>:</w:t>
      </w:r>
    </w:p>
    <w:p w14:paraId="173610AE" w14:textId="2D7135E7" w:rsidR="005E7EE3" w:rsidRPr="009D6881" w:rsidRDefault="00916DB1" w:rsidP="00890236">
      <w:pPr>
        <w:pStyle w:val="ListParagraph"/>
        <w:numPr>
          <w:ilvl w:val="1"/>
          <w:numId w:val="5"/>
        </w:numPr>
        <w:ind w:left="1080"/>
        <w:jc w:val="both"/>
        <w:rPr>
          <w:sz w:val="22"/>
          <w:szCs w:val="22"/>
        </w:rPr>
      </w:pPr>
      <w:r w:rsidRPr="009D6881">
        <w:rPr>
          <w:sz w:val="22"/>
          <w:szCs w:val="22"/>
        </w:rPr>
        <w:t xml:space="preserve">In non-tidal waters: </w:t>
      </w:r>
      <w:r w:rsidR="005E7EE3" w:rsidRPr="009D6881">
        <w:rPr>
          <w:sz w:val="22"/>
          <w:szCs w:val="22"/>
        </w:rPr>
        <w:t xml:space="preserve">within one-half mile </w:t>
      </w:r>
      <w:r w:rsidR="005E7EE3" w:rsidRPr="009D6881">
        <w:rPr>
          <w:i/>
          <w:sz w:val="22"/>
          <w:szCs w:val="22"/>
        </w:rPr>
        <w:t>downstream</w:t>
      </w:r>
      <w:r w:rsidR="005E7EE3" w:rsidRPr="009D6881">
        <w:rPr>
          <w:sz w:val="22"/>
          <w:szCs w:val="22"/>
        </w:rPr>
        <w:t xml:space="preserve"> of each impact site</w:t>
      </w:r>
      <w:r w:rsidR="00027228" w:rsidRPr="009D6881">
        <w:rPr>
          <w:iCs/>
          <w:sz w:val="22"/>
          <w:szCs w:val="22"/>
        </w:rPr>
        <w:t>;</w:t>
      </w:r>
      <w:r w:rsidR="005E7EE3" w:rsidRPr="009D6881">
        <w:rPr>
          <w:i/>
          <w:sz w:val="22"/>
          <w:szCs w:val="22"/>
        </w:rPr>
        <w:t xml:space="preserve"> </w:t>
      </w:r>
    </w:p>
    <w:p w14:paraId="74606869" w14:textId="77777777" w:rsidR="00A53689" w:rsidRPr="00A53689" w:rsidRDefault="00027228" w:rsidP="00A53689">
      <w:pPr>
        <w:pStyle w:val="ListParagraph"/>
        <w:numPr>
          <w:ilvl w:val="1"/>
          <w:numId w:val="5"/>
        </w:numPr>
        <w:ind w:left="1080"/>
        <w:jc w:val="both"/>
        <w:rPr>
          <w:rFonts w:eastAsiaTheme="minorHAnsi"/>
          <w:sz w:val="22"/>
          <w:szCs w:val="22"/>
          <w:lang w:bidi="ar-SA"/>
        </w:rPr>
      </w:pPr>
      <w:r w:rsidRPr="009D6881">
        <w:rPr>
          <w:sz w:val="22"/>
          <w:szCs w:val="22"/>
        </w:rPr>
        <w:t xml:space="preserve">In tidal waters: </w:t>
      </w:r>
      <w:r w:rsidR="005E7EE3" w:rsidRPr="009D6881">
        <w:rPr>
          <w:sz w:val="22"/>
          <w:szCs w:val="22"/>
        </w:rPr>
        <w:t xml:space="preserve">within </w:t>
      </w:r>
      <w:r w:rsidR="002C05FF" w:rsidRPr="009D6881">
        <w:rPr>
          <w:sz w:val="22"/>
          <w:szCs w:val="22"/>
        </w:rPr>
        <w:t>one-quarter</w:t>
      </w:r>
      <w:r w:rsidR="005E7EE3" w:rsidRPr="009D6881">
        <w:rPr>
          <w:sz w:val="22"/>
          <w:szCs w:val="22"/>
        </w:rPr>
        <w:t xml:space="preserve"> mile </w:t>
      </w:r>
      <w:r w:rsidR="005E7EE3" w:rsidRPr="00A53689">
        <w:rPr>
          <w:iCs/>
          <w:sz w:val="22"/>
          <w:szCs w:val="22"/>
        </w:rPr>
        <w:t xml:space="preserve">upstream </w:t>
      </w:r>
      <w:r w:rsidR="005E7EE3" w:rsidRPr="009D6881">
        <w:rPr>
          <w:sz w:val="22"/>
          <w:szCs w:val="22"/>
        </w:rPr>
        <w:t xml:space="preserve">and </w:t>
      </w:r>
      <w:r w:rsidR="002C05FF" w:rsidRPr="009D6881">
        <w:rPr>
          <w:sz w:val="22"/>
          <w:szCs w:val="22"/>
        </w:rPr>
        <w:t>one-quarter</w:t>
      </w:r>
      <w:r w:rsidR="005E7EE3" w:rsidRPr="009D6881">
        <w:rPr>
          <w:sz w:val="22"/>
          <w:szCs w:val="22"/>
        </w:rPr>
        <w:t xml:space="preserve"> mile </w:t>
      </w:r>
      <w:r w:rsidR="005E7EE3" w:rsidRPr="00A53689">
        <w:rPr>
          <w:iCs/>
          <w:sz w:val="22"/>
          <w:szCs w:val="22"/>
        </w:rPr>
        <w:t>downstream</w:t>
      </w:r>
      <w:r w:rsidR="005E7EE3" w:rsidRPr="009D6881">
        <w:rPr>
          <w:sz w:val="22"/>
          <w:szCs w:val="22"/>
        </w:rPr>
        <w:t xml:space="preserve"> of each impact site</w:t>
      </w:r>
      <w:r w:rsidR="00BB696B" w:rsidRPr="009D6881">
        <w:rPr>
          <w:sz w:val="22"/>
          <w:szCs w:val="22"/>
        </w:rPr>
        <w:t>;</w:t>
      </w:r>
    </w:p>
    <w:p w14:paraId="268BF971" w14:textId="4E357899" w:rsidR="006826BA" w:rsidRPr="009D6881" w:rsidRDefault="00BB696B" w:rsidP="00A53689">
      <w:pPr>
        <w:pStyle w:val="ListParagraph"/>
        <w:numPr>
          <w:ilvl w:val="1"/>
          <w:numId w:val="5"/>
        </w:numPr>
        <w:ind w:left="1080"/>
        <w:jc w:val="both"/>
        <w:rPr>
          <w:rFonts w:eastAsiaTheme="minorHAnsi"/>
          <w:sz w:val="22"/>
          <w:szCs w:val="22"/>
          <w:lang w:bidi="ar-SA"/>
        </w:rPr>
      </w:pPr>
      <w:r w:rsidRPr="00A53689">
        <w:rPr>
          <w:sz w:val="22"/>
          <w:szCs w:val="22"/>
        </w:rPr>
        <w:t xml:space="preserve">If applicable in non-tidal or tidal waters: </w:t>
      </w:r>
      <w:r w:rsidR="00B975E1" w:rsidRPr="00A53689">
        <w:rPr>
          <w:sz w:val="22"/>
          <w:szCs w:val="22"/>
        </w:rPr>
        <w:t xml:space="preserve">within the </w:t>
      </w:r>
      <w:r w:rsidR="004B357E" w:rsidRPr="00A53689">
        <w:rPr>
          <w:sz w:val="22"/>
          <w:szCs w:val="22"/>
        </w:rPr>
        <w:t xml:space="preserve">applicable </w:t>
      </w:r>
      <w:r w:rsidR="00B975E1" w:rsidRPr="00A53689">
        <w:rPr>
          <w:sz w:val="22"/>
          <w:szCs w:val="22"/>
        </w:rPr>
        <w:t>above distance</w:t>
      </w:r>
      <w:r w:rsidR="004B357E" w:rsidRPr="00A53689">
        <w:rPr>
          <w:sz w:val="22"/>
          <w:szCs w:val="22"/>
        </w:rPr>
        <w:t>(</w:t>
      </w:r>
      <w:r w:rsidR="00B975E1" w:rsidRPr="00A53689">
        <w:rPr>
          <w:sz w:val="22"/>
          <w:szCs w:val="22"/>
        </w:rPr>
        <w:t>s</w:t>
      </w:r>
      <w:r w:rsidR="004B357E" w:rsidRPr="00A53689">
        <w:rPr>
          <w:sz w:val="22"/>
          <w:szCs w:val="22"/>
        </w:rPr>
        <w:t>)</w:t>
      </w:r>
      <w:r w:rsidR="00B975E1" w:rsidRPr="00A53689">
        <w:rPr>
          <w:sz w:val="22"/>
          <w:szCs w:val="22"/>
        </w:rPr>
        <w:t xml:space="preserve"> from any permittee-responsible mitigation site that incurs impacts covered by the pending individual permit</w:t>
      </w:r>
      <w:r w:rsidR="005E7EE3" w:rsidRPr="00A53689">
        <w:rPr>
          <w:sz w:val="22"/>
          <w:szCs w:val="22"/>
        </w:rPr>
        <w:t>.</w:t>
      </w:r>
    </w:p>
    <w:p w14:paraId="4C3FD6FB" w14:textId="2C5AABD0" w:rsidR="005E7EE3" w:rsidRPr="009D6881" w:rsidRDefault="005E7EE3" w:rsidP="00890236">
      <w:pPr>
        <w:pStyle w:val="ListParagraph"/>
        <w:numPr>
          <w:ilvl w:val="0"/>
          <w:numId w:val="5"/>
        </w:numPr>
        <w:jc w:val="both"/>
        <w:rPr>
          <w:sz w:val="22"/>
          <w:szCs w:val="22"/>
        </w:rPr>
      </w:pPr>
      <w:r w:rsidRPr="009D6881">
        <w:rPr>
          <w:sz w:val="22"/>
          <w:szCs w:val="22"/>
        </w:rPr>
        <w:t xml:space="preserve">Obtain the list of affected </w:t>
      </w:r>
      <w:r w:rsidRPr="009D6881">
        <w:rPr>
          <w:i/>
          <w:iCs/>
          <w:sz w:val="22"/>
          <w:szCs w:val="22"/>
          <w:u w:val="single"/>
        </w:rPr>
        <w:t>riparian</w:t>
      </w:r>
      <w:r w:rsidRPr="009D6881">
        <w:rPr>
          <w:sz w:val="22"/>
          <w:szCs w:val="22"/>
        </w:rPr>
        <w:t xml:space="preserve"> </w:t>
      </w:r>
      <w:r w:rsidR="00B1580B" w:rsidRPr="009D6881">
        <w:rPr>
          <w:sz w:val="22"/>
          <w:szCs w:val="22"/>
        </w:rPr>
        <w:t xml:space="preserve">property </w:t>
      </w:r>
      <w:r w:rsidRPr="009D6881">
        <w:rPr>
          <w:sz w:val="22"/>
          <w:szCs w:val="22"/>
        </w:rPr>
        <w:t>owners:</w:t>
      </w:r>
    </w:p>
    <w:p w14:paraId="4827394B" w14:textId="77777777" w:rsidR="005E7EE3" w:rsidRPr="009D6881" w:rsidRDefault="005E7EE3" w:rsidP="00890236">
      <w:pPr>
        <w:pStyle w:val="ListParagraph"/>
        <w:numPr>
          <w:ilvl w:val="1"/>
          <w:numId w:val="5"/>
        </w:numPr>
        <w:ind w:left="1080"/>
        <w:jc w:val="both"/>
        <w:rPr>
          <w:sz w:val="22"/>
          <w:szCs w:val="22"/>
        </w:rPr>
      </w:pPr>
      <w:r w:rsidRPr="009D6881">
        <w:rPr>
          <w:sz w:val="22"/>
          <w:szCs w:val="22"/>
        </w:rPr>
        <w:t>If available, utilize locality’s GIS tools, or contact the locality’s Commissioner of Revenue for large requests.</w:t>
      </w:r>
    </w:p>
    <w:p w14:paraId="23CDD17B" w14:textId="30D9CB33" w:rsidR="005E7EE3" w:rsidRPr="009D6881" w:rsidRDefault="005E7EE3" w:rsidP="00890236">
      <w:pPr>
        <w:pStyle w:val="ListParagraph"/>
        <w:numPr>
          <w:ilvl w:val="1"/>
          <w:numId w:val="5"/>
        </w:numPr>
        <w:ind w:left="1080"/>
        <w:jc w:val="both"/>
        <w:rPr>
          <w:sz w:val="22"/>
          <w:szCs w:val="22"/>
        </w:rPr>
      </w:pPr>
      <w:r w:rsidRPr="009D6881">
        <w:rPr>
          <w:sz w:val="22"/>
          <w:szCs w:val="22"/>
        </w:rPr>
        <w:t xml:space="preserve">For those </w:t>
      </w:r>
      <w:r w:rsidRPr="009D6881">
        <w:rPr>
          <w:spacing w:val="-3"/>
          <w:sz w:val="22"/>
          <w:szCs w:val="22"/>
        </w:rPr>
        <w:t>cities or counties that do not have GIS tools,</w:t>
      </w:r>
      <w:r w:rsidRPr="009D6881">
        <w:rPr>
          <w:sz w:val="22"/>
          <w:szCs w:val="22"/>
        </w:rPr>
        <w:t xml:space="preserve"> request the names and addresses of riparian </w:t>
      </w:r>
      <w:r w:rsidR="00E24FEA" w:rsidRPr="009D6881">
        <w:rPr>
          <w:sz w:val="22"/>
          <w:szCs w:val="22"/>
        </w:rPr>
        <w:t>property owners</w:t>
      </w:r>
      <w:r w:rsidRPr="009D6881">
        <w:rPr>
          <w:sz w:val="22"/>
          <w:szCs w:val="22"/>
        </w:rPr>
        <w:t xml:space="preserve"> from the locality’s Commissioner of Revenue. </w:t>
      </w:r>
    </w:p>
    <w:p w14:paraId="29EA305B" w14:textId="3002BDA3" w:rsidR="005E7EE3" w:rsidRPr="009D6881" w:rsidRDefault="005E7EE3" w:rsidP="00890236">
      <w:pPr>
        <w:pStyle w:val="ListParagraph"/>
        <w:numPr>
          <w:ilvl w:val="1"/>
          <w:numId w:val="5"/>
        </w:numPr>
        <w:ind w:left="1080"/>
        <w:jc w:val="both"/>
        <w:rPr>
          <w:sz w:val="22"/>
          <w:szCs w:val="22"/>
        </w:rPr>
      </w:pPr>
      <w:r w:rsidRPr="009D6881">
        <w:rPr>
          <w:sz w:val="22"/>
          <w:szCs w:val="22"/>
        </w:rPr>
        <w:lastRenderedPageBreak/>
        <w:t>Note: If a list is provided by the applicant, it can be used as a starting point but should be verified per the options above in order to reduce the risk of missing or omitting an owner(s)</w:t>
      </w:r>
      <w:r w:rsidR="00B975E1" w:rsidRPr="009D6881">
        <w:rPr>
          <w:sz w:val="22"/>
          <w:szCs w:val="22"/>
        </w:rPr>
        <w:t>, especially when permittee-responsible mitigation applies</w:t>
      </w:r>
      <w:r w:rsidRPr="009D6881">
        <w:rPr>
          <w:sz w:val="22"/>
          <w:szCs w:val="22"/>
        </w:rPr>
        <w:t>.</w:t>
      </w:r>
    </w:p>
    <w:p w14:paraId="7C3BF6A0" w14:textId="7EBD29DD" w:rsidR="005E7EE3" w:rsidRDefault="005E7EE3" w:rsidP="005E7EE3">
      <w:pPr>
        <w:rPr>
          <w:b/>
          <w:u w:val="single"/>
        </w:rPr>
      </w:pPr>
      <w:r w:rsidRPr="00D80A73">
        <w:rPr>
          <w:b/>
          <w:u w:val="single"/>
        </w:rPr>
        <w:t xml:space="preserve">Step </w:t>
      </w:r>
      <w:r>
        <w:rPr>
          <w:b/>
          <w:u w:val="single"/>
        </w:rPr>
        <w:t>6</w:t>
      </w:r>
      <w:r w:rsidRPr="00D80A73">
        <w:rPr>
          <w:b/>
          <w:u w:val="single"/>
        </w:rPr>
        <w:t xml:space="preserve">: State </w:t>
      </w:r>
      <w:r>
        <w:rPr>
          <w:b/>
          <w:u w:val="single"/>
        </w:rPr>
        <w:t xml:space="preserve">and Federal </w:t>
      </w:r>
      <w:r w:rsidRPr="00D80A73">
        <w:rPr>
          <w:b/>
          <w:u w:val="single"/>
        </w:rPr>
        <w:t>Agency Coordination</w:t>
      </w:r>
    </w:p>
    <w:p w14:paraId="2371593B" w14:textId="77777777" w:rsidR="005E7EE3" w:rsidRPr="0041315F" w:rsidRDefault="005E7EE3" w:rsidP="0041315F">
      <w:pPr>
        <w:pStyle w:val="ListParagraph"/>
        <w:numPr>
          <w:ilvl w:val="0"/>
          <w:numId w:val="6"/>
        </w:numPr>
        <w:jc w:val="both"/>
        <w:rPr>
          <w:sz w:val="22"/>
          <w:szCs w:val="22"/>
        </w:rPr>
      </w:pPr>
      <w:r w:rsidRPr="0041315F">
        <w:rPr>
          <w:sz w:val="22"/>
          <w:szCs w:val="22"/>
        </w:rPr>
        <w:t>State Coordination:</w:t>
      </w:r>
    </w:p>
    <w:p w14:paraId="4E78DEB6" w14:textId="198F12A5" w:rsidR="005E7EE3" w:rsidRPr="000909CC" w:rsidRDefault="005E7EE3" w:rsidP="00415A0D">
      <w:pPr>
        <w:pStyle w:val="ListParagraph"/>
        <w:numPr>
          <w:ilvl w:val="1"/>
          <w:numId w:val="6"/>
        </w:numPr>
        <w:ind w:left="1080"/>
        <w:jc w:val="both"/>
        <w:rPr>
          <w:sz w:val="22"/>
          <w:szCs w:val="22"/>
        </w:rPr>
      </w:pPr>
      <w:r w:rsidRPr="0041315F">
        <w:rPr>
          <w:sz w:val="22"/>
          <w:szCs w:val="22"/>
        </w:rPr>
        <w:t xml:space="preserve">Request comments from </w:t>
      </w:r>
      <w:r w:rsidR="00B271E5">
        <w:rPr>
          <w:sz w:val="22"/>
          <w:szCs w:val="22"/>
        </w:rPr>
        <w:t>Virginia Department of Health (</w:t>
      </w:r>
      <w:r w:rsidRPr="0041315F">
        <w:rPr>
          <w:sz w:val="22"/>
          <w:szCs w:val="22"/>
        </w:rPr>
        <w:t>VDH</w:t>
      </w:r>
      <w:r w:rsidR="00B271E5">
        <w:rPr>
          <w:sz w:val="22"/>
          <w:szCs w:val="22"/>
        </w:rPr>
        <w:t>)</w:t>
      </w:r>
      <w:r w:rsidRPr="0041315F">
        <w:rPr>
          <w:sz w:val="22"/>
          <w:szCs w:val="22"/>
        </w:rPr>
        <w:t xml:space="preserve">, </w:t>
      </w:r>
      <w:r w:rsidR="00B271E5">
        <w:rPr>
          <w:sz w:val="22"/>
          <w:szCs w:val="22"/>
        </w:rPr>
        <w:t>Virginia Department of Conservation and Recreation (</w:t>
      </w:r>
      <w:r w:rsidR="00C55066">
        <w:rPr>
          <w:sz w:val="22"/>
          <w:szCs w:val="22"/>
        </w:rPr>
        <w:t>VDCR</w:t>
      </w:r>
      <w:r w:rsidR="00B271E5">
        <w:rPr>
          <w:sz w:val="22"/>
          <w:szCs w:val="22"/>
        </w:rPr>
        <w:t>)</w:t>
      </w:r>
      <w:r w:rsidRPr="0041315F">
        <w:rPr>
          <w:sz w:val="22"/>
          <w:szCs w:val="22"/>
        </w:rPr>
        <w:t xml:space="preserve">, </w:t>
      </w:r>
      <w:r w:rsidR="00B271E5">
        <w:rPr>
          <w:sz w:val="22"/>
          <w:szCs w:val="22"/>
        </w:rPr>
        <w:t>Virginia Department of Wildlife Resources (</w:t>
      </w:r>
      <w:r w:rsidR="00C55066">
        <w:rPr>
          <w:sz w:val="22"/>
          <w:szCs w:val="22"/>
        </w:rPr>
        <w:t>VDWR</w:t>
      </w:r>
      <w:r w:rsidR="00B271E5">
        <w:rPr>
          <w:sz w:val="22"/>
          <w:szCs w:val="22"/>
        </w:rPr>
        <w:t>)</w:t>
      </w:r>
      <w:r w:rsidRPr="0041315F">
        <w:rPr>
          <w:sz w:val="22"/>
          <w:szCs w:val="22"/>
        </w:rPr>
        <w:t xml:space="preserve"> and </w:t>
      </w:r>
      <w:r w:rsidR="00A62210">
        <w:rPr>
          <w:sz w:val="22"/>
          <w:szCs w:val="22"/>
        </w:rPr>
        <w:t>Virginia Marine Resources Commission (</w:t>
      </w:r>
      <w:r w:rsidRPr="0041315F">
        <w:rPr>
          <w:sz w:val="22"/>
          <w:szCs w:val="22"/>
        </w:rPr>
        <w:t>VMRC</w:t>
      </w:r>
      <w:r w:rsidR="00A62210">
        <w:rPr>
          <w:sz w:val="22"/>
          <w:szCs w:val="22"/>
        </w:rPr>
        <w:t>)</w:t>
      </w:r>
      <w:r w:rsidRPr="0041315F">
        <w:rPr>
          <w:sz w:val="22"/>
          <w:szCs w:val="22"/>
        </w:rPr>
        <w:t xml:space="preserve">, giving </w:t>
      </w:r>
      <w:r w:rsidR="00C55066">
        <w:rPr>
          <w:sz w:val="22"/>
          <w:szCs w:val="22"/>
        </w:rPr>
        <w:t xml:space="preserve">a </w:t>
      </w:r>
      <w:r w:rsidRPr="0041315F">
        <w:rPr>
          <w:sz w:val="22"/>
          <w:szCs w:val="22"/>
        </w:rPr>
        <w:t>45</w:t>
      </w:r>
      <w:r w:rsidR="00C55066">
        <w:rPr>
          <w:sz w:val="22"/>
          <w:szCs w:val="22"/>
        </w:rPr>
        <w:t>-</w:t>
      </w:r>
      <w:r w:rsidRPr="0041315F">
        <w:rPr>
          <w:sz w:val="22"/>
          <w:szCs w:val="22"/>
        </w:rPr>
        <w:t>day comment window. No species screening</w:t>
      </w:r>
      <w:r w:rsidR="00144068">
        <w:rPr>
          <w:sz w:val="22"/>
          <w:szCs w:val="22"/>
        </w:rPr>
        <w:t xml:space="preserve"> by DEQ staff</w:t>
      </w:r>
      <w:r w:rsidRPr="0041315F">
        <w:rPr>
          <w:sz w:val="22"/>
          <w:szCs w:val="22"/>
        </w:rPr>
        <w:t xml:space="preserve"> is required prior to coordination</w:t>
      </w:r>
      <w:r w:rsidR="00C55066">
        <w:rPr>
          <w:sz w:val="22"/>
          <w:szCs w:val="22"/>
        </w:rPr>
        <w:t xml:space="preserve">; </w:t>
      </w:r>
      <w:r w:rsidR="00C55066" w:rsidRPr="00C55066">
        <w:rPr>
          <w:sz w:val="22"/>
          <w:szCs w:val="22"/>
        </w:rPr>
        <w:t xml:space="preserve">however, staff should request agency </w:t>
      </w:r>
      <w:r w:rsidR="00C55066" w:rsidRPr="000909CC">
        <w:rPr>
          <w:sz w:val="22"/>
          <w:szCs w:val="22"/>
        </w:rPr>
        <w:t>comments as soon as possible during application review.</w:t>
      </w:r>
    </w:p>
    <w:p w14:paraId="0E04C164" w14:textId="11752A85" w:rsidR="005E7EE3" w:rsidRPr="000909CC" w:rsidRDefault="005E7EE3" w:rsidP="00415A0D">
      <w:pPr>
        <w:pStyle w:val="ListParagraph"/>
        <w:numPr>
          <w:ilvl w:val="1"/>
          <w:numId w:val="6"/>
        </w:numPr>
        <w:ind w:left="1080"/>
        <w:jc w:val="both"/>
        <w:rPr>
          <w:sz w:val="22"/>
          <w:szCs w:val="22"/>
        </w:rPr>
      </w:pPr>
      <w:r w:rsidRPr="000909CC">
        <w:rPr>
          <w:sz w:val="22"/>
          <w:szCs w:val="22"/>
        </w:rPr>
        <w:t>Additional coordination with USFWS, VDACS, NOAA</w:t>
      </w:r>
      <w:r w:rsidR="00144068" w:rsidRPr="000909CC">
        <w:rPr>
          <w:sz w:val="22"/>
          <w:szCs w:val="22"/>
        </w:rPr>
        <w:t xml:space="preserve">, </w:t>
      </w:r>
      <w:r w:rsidR="00C55066" w:rsidRPr="000909CC">
        <w:rPr>
          <w:sz w:val="22"/>
          <w:szCs w:val="22"/>
        </w:rPr>
        <w:t>and/</w:t>
      </w:r>
      <w:r w:rsidR="00144068" w:rsidRPr="000909CC">
        <w:rPr>
          <w:sz w:val="22"/>
          <w:szCs w:val="22"/>
        </w:rPr>
        <w:t>or Tribes</w:t>
      </w:r>
      <w:r w:rsidRPr="000909CC">
        <w:rPr>
          <w:sz w:val="22"/>
          <w:szCs w:val="22"/>
        </w:rPr>
        <w:t xml:space="preserve"> may be necessary, but only if recommended by one of the above state agencies and only if </w:t>
      </w:r>
      <w:r w:rsidR="00144068" w:rsidRPr="000909CC">
        <w:rPr>
          <w:sz w:val="22"/>
          <w:szCs w:val="22"/>
        </w:rPr>
        <w:t>related to</w:t>
      </w:r>
      <w:r w:rsidRPr="000909CC">
        <w:rPr>
          <w:sz w:val="22"/>
          <w:szCs w:val="22"/>
        </w:rPr>
        <w:t xml:space="preserve"> a state</w:t>
      </w:r>
      <w:r w:rsidR="00144068" w:rsidRPr="000909CC">
        <w:rPr>
          <w:sz w:val="22"/>
          <w:szCs w:val="22"/>
        </w:rPr>
        <w:t>-</w:t>
      </w:r>
      <w:r w:rsidRPr="000909CC">
        <w:rPr>
          <w:sz w:val="22"/>
          <w:szCs w:val="22"/>
        </w:rPr>
        <w:t>listed threatened or endangered species.</w:t>
      </w:r>
      <w:r w:rsidR="00E5117D" w:rsidRPr="000909CC">
        <w:rPr>
          <w:rStyle w:val="FootnoteReference"/>
          <w:sz w:val="22"/>
          <w:szCs w:val="22"/>
        </w:rPr>
        <w:footnoteReference w:id="2"/>
      </w:r>
      <w:r w:rsidR="00144068" w:rsidRPr="000909CC">
        <w:rPr>
          <w:sz w:val="22"/>
          <w:szCs w:val="22"/>
        </w:rPr>
        <w:t xml:space="preserve"> Note that many species occur on both the federal and state lists.</w:t>
      </w:r>
    </w:p>
    <w:p w14:paraId="677BC190" w14:textId="3160F253" w:rsidR="005E7EE3" w:rsidRPr="0041315F" w:rsidRDefault="005E7EE3" w:rsidP="00415A0D">
      <w:pPr>
        <w:pStyle w:val="ListParagraph"/>
        <w:numPr>
          <w:ilvl w:val="1"/>
          <w:numId w:val="6"/>
        </w:numPr>
        <w:ind w:left="1080"/>
        <w:jc w:val="both"/>
        <w:rPr>
          <w:sz w:val="22"/>
          <w:szCs w:val="22"/>
        </w:rPr>
      </w:pPr>
      <w:r w:rsidRPr="0041315F">
        <w:rPr>
          <w:sz w:val="22"/>
          <w:szCs w:val="22"/>
        </w:rPr>
        <w:t xml:space="preserve">The state agencies have 45 days from receipt of the coordination request to review the proposed project and provide a response. If necessary, </w:t>
      </w:r>
      <w:r w:rsidR="00144068">
        <w:rPr>
          <w:sz w:val="22"/>
          <w:szCs w:val="22"/>
        </w:rPr>
        <w:t>f</w:t>
      </w:r>
      <w:r w:rsidRPr="0041315F">
        <w:rPr>
          <w:sz w:val="22"/>
          <w:szCs w:val="22"/>
        </w:rPr>
        <w:t>ederal agencies are given the same period to review and comment.</w:t>
      </w:r>
      <w:r w:rsidR="00815E00">
        <w:rPr>
          <w:sz w:val="22"/>
          <w:szCs w:val="22"/>
        </w:rPr>
        <w:t xml:space="preserve"> Agency comments will be accepted through 11:59 p.m. on the 45</w:t>
      </w:r>
      <w:r w:rsidR="00815E00" w:rsidRPr="00F94F8E">
        <w:rPr>
          <w:sz w:val="22"/>
          <w:szCs w:val="22"/>
          <w:vertAlign w:val="superscript"/>
        </w:rPr>
        <w:t>th</w:t>
      </w:r>
      <w:r w:rsidR="00815E00">
        <w:rPr>
          <w:sz w:val="22"/>
          <w:szCs w:val="22"/>
        </w:rPr>
        <w:t xml:space="preserve"> day.  The 45-day period is counted from application complete (APCP), or on the day the DEQ request for comments was sent</w:t>
      </w:r>
      <w:r w:rsidR="00FF23EF">
        <w:rPr>
          <w:sz w:val="22"/>
          <w:szCs w:val="22"/>
        </w:rPr>
        <w:t>, whichever occurs first</w:t>
      </w:r>
      <w:r w:rsidR="00815E00">
        <w:rPr>
          <w:sz w:val="22"/>
          <w:szCs w:val="22"/>
        </w:rPr>
        <w:t>.</w:t>
      </w:r>
    </w:p>
    <w:p w14:paraId="11BD9FE9" w14:textId="6CB99E97" w:rsidR="005E7EE3" w:rsidRPr="0041315F" w:rsidRDefault="005E7EE3" w:rsidP="00415A0D">
      <w:pPr>
        <w:pStyle w:val="ListParagraph"/>
        <w:numPr>
          <w:ilvl w:val="1"/>
          <w:numId w:val="6"/>
        </w:numPr>
        <w:ind w:left="1080"/>
        <w:jc w:val="both"/>
        <w:rPr>
          <w:sz w:val="22"/>
          <w:szCs w:val="22"/>
        </w:rPr>
      </w:pPr>
      <w:r w:rsidRPr="0041315F">
        <w:rPr>
          <w:sz w:val="22"/>
          <w:szCs w:val="22"/>
        </w:rPr>
        <w:t>If comments are received or permit conditions proposed by state or federal agencies, coordinate with the applicant and the reviewing agency to resolve any potential issues. Thoroughly document any final decisions in the Fact Sheet (e.g., rationale for such conditions if imposed).</w:t>
      </w:r>
      <w:r w:rsidR="00E5117D">
        <w:rPr>
          <w:rStyle w:val="FootnoteReference"/>
          <w:sz w:val="22"/>
          <w:szCs w:val="22"/>
        </w:rPr>
        <w:footnoteReference w:id="3"/>
      </w:r>
    </w:p>
    <w:p w14:paraId="32AC6505" w14:textId="53A44C43" w:rsidR="005E7EE3" w:rsidRPr="0041315F" w:rsidRDefault="005E7EE3" w:rsidP="0041315F">
      <w:pPr>
        <w:pStyle w:val="ListParagraph"/>
        <w:numPr>
          <w:ilvl w:val="0"/>
          <w:numId w:val="6"/>
        </w:numPr>
        <w:jc w:val="both"/>
        <w:rPr>
          <w:sz w:val="22"/>
          <w:szCs w:val="22"/>
        </w:rPr>
      </w:pPr>
      <w:r w:rsidRPr="0041315F">
        <w:rPr>
          <w:sz w:val="22"/>
          <w:szCs w:val="22"/>
        </w:rPr>
        <w:t xml:space="preserve">Recommend coordinating with </w:t>
      </w:r>
      <w:r w:rsidR="00C55066">
        <w:rPr>
          <w:sz w:val="22"/>
          <w:szCs w:val="22"/>
        </w:rPr>
        <w:t>USACE</w:t>
      </w:r>
      <w:r w:rsidRPr="0041315F">
        <w:rPr>
          <w:sz w:val="22"/>
          <w:szCs w:val="22"/>
        </w:rPr>
        <w:t xml:space="preserve"> on projects where one or both agencies are asserting jurisdiction.</w:t>
      </w:r>
    </w:p>
    <w:p w14:paraId="648A51E2" w14:textId="070CF738" w:rsidR="00646F4A" w:rsidRPr="00CC3F12" w:rsidRDefault="005E7EE3" w:rsidP="00CC3F12">
      <w:pPr>
        <w:pStyle w:val="ListParagraph"/>
        <w:numPr>
          <w:ilvl w:val="0"/>
          <w:numId w:val="6"/>
        </w:numPr>
        <w:jc w:val="both"/>
        <w:rPr>
          <w:b/>
          <w:sz w:val="22"/>
          <w:szCs w:val="22"/>
          <w:u w:val="single"/>
        </w:rPr>
      </w:pPr>
      <w:r w:rsidRPr="0041315F">
        <w:rPr>
          <w:sz w:val="22"/>
          <w:szCs w:val="22"/>
        </w:rPr>
        <w:t xml:space="preserve">For individual permits </w:t>
      </w:r>
      <w:r w:rsidR="00144068">
        <w:rPr>
          <w:sz w:val="22"/>
          <w:szCs w:val="22"/>
        </w:rPr>
        <w:t>having an associated</w:t>
      </w:r>
      <w:r w:rsidRPr="0041315F">
        <w:rPr>
          <w:sz w:val="22"/>
          <w:szCs w:val="22"/>
        </w:rPr>
        <w:t xml:space="preserve"> SPGP</w:t>
      </w:r>
      <w:r w:rsidR="00CC3F12">
        <w:rPr>
          <w:sz w:val="22"/>
          <w:szCs w:val="22"/>
        </w:rPr>
        <w:t>,</w:t>
      </w:r>
      <w:r w:rsidRPr="0041315F">
        <w:rPr>
          <w:sz w:val="22"/>
          <w:szCs w:val="22"/>
        </w:rPr>
        <w:t xml:space="preserve"> </w:t>
      </w:r>
      <w:r w:rsidR="00144068">
        <w:rPr>
          <w:sz w:val="22"/>
          <w:szCs w:val="22"/>
        </w:rPr>
        <w:t xml:space="preserve">note that </w:t>
      </w:r>
      <w:r w:rsidR="00C55066">
        <w:rPr>
          <w:sz w:val="22"/>
          <w:szCs w:val="22"/>
        </w:rPr>
        <w:t>USACE</w:t>
      </w:r>
      <w:r w:rsidR="00144068">
        <w:rPr>
          <w:sz w:val="22"/>
          <w:szCs w:val="22"/>
        </w:rPr>
        <w:t xml:space="preserve"> is currently leading coordination efforts for SPGP purposes (see</w:t>
      </w:r>
      <w:r w:rsidRPr="0041315F">
        <w:rPr>
          <w:sz w:val="22"/>
          <w:szCs w:val="22"/>
        </w:rPr>
        <w:t xml:space="preserve"> the</w:t>
      </w:r>
      <w:r w:rsidR="00CC3F12">
        <w:rPr>
          <w:sz w:val="22"/>
          <w:szCs w:val="22"/>
        </w:rPr>
        <w:t xml:space="preserve"> most recent</w:t>
      </w:r>
      <w:r w:rsidRPr="0041315F">
        <w:rPr>
          <w:sz w:val="22"/>
          <w:szCs w:val="22"/>
        </w:rPr>
        <w:t xml:space="preserve"> SPGP Standard Operating Procedures</w:t>
      </w:r>
      <w:r w:rsidR="00CC3F12">
        <w:rPr>
          <w:sz w:val="22"/>
          <w:szCs w:val="22"/>
        </w:rPr>
        <w:t xml:space="preserve"> </w:t>
      </w:r>
      <w:r w:rsidR="00144068">
        <w:rPr>
          <w:sz w:val="22"/>
          <w:szCs w:val="22"/>
        </w:rPr>
        <w:t xml:space="preserve">regarding </w:t>
      </w:r>
      <w:r w:rsidRPr="00CC3F12">
        <w:rPr>
          <w:sz w:val="22"/>
          <w:szCs w:val="22"/>
        </w:rPr>
        <w:t>Section 106 coordination</w:t>
      </w:r>
      <w:r w:rsidR="00CC3F12">
        <w:rPr>
          <w:sz w:val="22"/>
          <w:szCs w:val="22"/>
        </w:rPr>
        <w:t xml:space="preserve">, </w:t>
      </w:r>
      <w:r w:rsidRPr="00CC3F12">
        <w:rPr>
          <w:sz w:val="22"/>
          <w:szCs w:val="22"/>
        </w:rPr>
        <w:t>Section 7 coordination</w:t>
      </w:r>
      <w:r w:rsidR="00CC3F12">
        <w:rPr>
          <w:sz w:val="22"/>
          <w:szCs w:val="22"/>
        </w:rPr>
        <w:t xml:space="preserve">, </w:t>
      </w:r>
      <w:r w:rsidR="003A576D" w:rsidRPr="00CC3F12">
        <w:rPr>
          <w:sz w:val="22"/>
          <w:szCs w:val="22"/>
        </w:rPr>
        <w:t>Section 408 coordination</w:t>
      </w:r>
      <w:r w:rsidR="00CC3F12">
        <w:rPr>
          <w:sz w:val="22"/>
          <w:szCs w:val="22"/>
        </w:rPr>
        <w:t>).</w:t>
      </w:r>
    </w:p>
    <w:p w14:paraId="751C39D6" w14:textId="77777777" w:rsidR="005E7EE3" w:rsidRDefault="005E7EE3" w:rsidP="005E7EE3">
      <w:pPr>
        <w:rPr>
          <w:b/>
          <w:u w:val="single"/>
        </w:rPr>
      </w:pPr>
      <w:r>
        <w:rPr>
          <w:b/>
          <w:u w:val="single"/>
        </w:rPr>
        <w:t>Step 7: Draft Permit</w:t>
      </w:r>
    </w:p>
    <w:p w14:paraId="56E3BC4E" w14:textId="1AC47DF4" w:rsidR="005E7EE3" w:rsidRPr="0041315F" w:rsidRDefault="005E7EE3" w:rsidP="0041315F">
      <w:pPr>
        <w:pStyle w:val="ListParagraph"/>
        <w:numPr>
          <w:ilvl w:val="0"/>
          <w:numId w:val="7"/>
        </w:numPr>
        <w:jc w:val="both"/>
        <w:rPr>
          <w:b/>
          <w:sz w:val="22"/>
          <w:szCs w:val="22"/>
          <w:u w:val="single"/>
        </w:rPr>
      </w:pPr>
      <w:r w:rsidRPr="0041315F">
        <w:rPr>
          <w:sz w:val="22"/>
          <w:szCs w:val="22"/>
        </w:rPr>
        <w:t>Once the application is complete and state agency coordination is complete, DEQ makes a tentative permit decision, whether to issue or deny the permit. If the tentative decision is to issue the permit, a draft individual permit package should be prepared.</w:t>
      </w:r>
    </w:p>
    <w:p w14:paraId="79BBD606" w14:textId="3A7F147E" w:rsidR="005E7EE3" w:rsidRPr="0055522C" w:rsidRDefault="005E7EE3" w:rsidP="0041315F">
      <w:pPr>
        <w:pStyle w:val="ListParagraph"/>
        <w:numPr>
          <w:ilvl w:val="0"/>
          <w:numId w:val="7"/>
        </w:numPr>
        <w:jc w:val="both"/>
        <w:rPr>
          <w:b/>
          <w:i/>
          <w:iCs/>
          <w:sz w:val="22"/>
          <w:szCs w:val="22"/>
          <w:u w:val="single"/>
        </w:rPr>
      </w:pPr>
      <w:r w:rsidRPr="0055522C">
        <w:rPr>
          <w:i/>
          <w:iCs/>
          <w:sz w:val="22"/>
          <w:szCs w:val="22"/>
        </w:rPr>
        <w:t xml:space="preserve">A draft permit may not be sent to the applicant until the required permit application fee has been </w:t>
      </w:r>
      <w:r w:rsidR="00640DBF">
        <w:rPr>
          <w:i/>
          <w:iCs/>
          <w:sz w:val="22"/>
          <w:szCs w:val="22"/>
        </w:rPr>
        <w:t xml:space="preserve">documented by DEQ as having been received and </w:t>
      </w:r>
      <w:r w:rsidRPr="0055522C">
        <w:rPr>
          <w:i/>
          <w:iCs/>
          <w:sz w:val="22"/>
          <w:szCs w:val="22"/>
        </w:rPr>
        <w:t>deposited</w:t>
      </w:r>
      <w:r w:rsidR="000C61BE">
        <w:rPr>
          <w:i/>
          <w:iCs/>
          <w:sz w:val="22"/>
          <w:szCs w:val="22"/>
        </w:rPr>
        <w:t xml:space="preserve"> </w:t>
      </w:r>
      <w:r w:rsidR="000C61BE">
        <w:rPr>
          <w:sz w:val="22"/>
          <w:szCs w:val="22"/>
        </w:rPr>
        <w:t>(</w:t>
      </w:r>
      <w:hyperlink r:id="rId31" w:history="1">
        <w:r w:rsidR="000C61BE" w:rsidRPr="00522239">
          <w:rPr>
            <w:rStyle w:val="Hyperlink"/>
            <w:sz w:val="22"/>
            <w:szCs w:val="22"/>
          </w:rPr>
          <w:t>9VAC25-210-80</w:t>
        </w:r>
      </w:hyperlink>
      <w:r w:rsidR="00522239">
        <w:rPr>
          <w:sz w:val="22"/>
          <w:szCs w:val="22"/>
        </w:rPr>
        <w:t>.</w:t>
      </w:r>
      <w:r w:rsidR="000C61BE">
        <w:rPr>
          <w:sz w:val="22"/>
          <w:szCs w:val="22"/>
        </w:rPr>
        <w:t>B</w:t>
      </w:r>
      <w:r w:rsidR="00522239">
        <w:rPr>
          <w:sz w:val="22"/>
          <w:szCs w:val="22"/>
        </w:rPr>
        <w:t>.</w:t>
      </w:r>
      <w:r w:rsidR="000C61BE">
        <w:rPr>
          <w:sz w:val="22"/>
          <w:szCs w:val="22"/>
        </w:rPr>
        <w:t>1</w:t>
      </w:r>
      <w:r w:rsidR="00522239">
        <w:rPr>
          <w:sz w:val="22"/>
          <w:szCs w:val="22"/>
        </w:rPr>
        <w:t>.</w:t>
      </w:r>
      <w:r w:rsidR="000C61BE">
        <w:rPr>
          <w:sz w:val="22"/>
          <w:szCs w:val="22"/>
        </w:rPr>
        <w:t>p)</w:t>
      </w:r>
      <w:r w:rsidRPr="0055522C">
        <w:rPr>
          <w:i/>
          <w:iCs/>
          <w:sz w:val="22"/>
          <w:szCs w:val="22"/>
        </w:rPr>
        <w:t>.</w:t>
      </w:r>
    </w:p>
    <w:p w14:paraId="360E8E47" w14:textId="77777777" w:rsidR="005E7EE3" w:rsidRPr="0041315F" w:rsidRDefault="005E7EE3" w:rsidP="0041315F">
      <w:pPr>
        <w:pStyle w:val="ListParagraph"/>
        <w:numPr>
          <w:ilvl w:val="0"/>
          <w:numId w:val="7"/>
        </w:numPr>
        <w:jc w:val="both"/>
        <w:rPr>
          <w:b/>
          <w:sz w:val="22"/>
          <w:szCs w:val="22"/>
          <w:u w:val="single"/>
        </w:rPr>
      </w:pPr>
      <w:r w:rsidRPr="0041315F">
        <w:rPr>
          <w:sz w:val="22"/>
          <w:szCs w:val="22"/>
        </w:rPr>
        <w:t>The finalized draft permit should be peer reviewed and must be reviewed and approved by the regional program manager prior to release of the draft permit package to the applicant.</w:t>
      </w:r>
    </w:p>
    <w:p w14:paraId="67751B6C" w14:textId="43DC6A00" w:rsidR="005E7EE3" w:rsidRPr="0041315F" w:rsidRDefault="005E7EE3" w:rsidP="0041315F">
      <w:pPr>
        <w:pStyle w:val="ListParagraph"/>
        <w:numPr>
          <w:ilvl w:val="0"/>
          <w:numId w:val="7"/>
        </w:numPr>
        <w:jc w:val="both"/>
        <w:rPr>
          <w:b/>
          <w:sz w:val="22"/>
          <w:szCs w:val="22"/>
          <w:u w:val="single"/>
        </w:rPr>
      </w:pPr>
      <w:r w:rsidRPr="0041315F">
        <w:rPr>
          <w:sz w:val="22"/>
          <w:szCs w:val="22"/>
        </w:rPr>
        <w:t xml:space="preserve">This package must be prepared and sent to the applicant in sufficient time to allow for 14-day permittee review of the draft </w:t>
      </w:r>
      <w:r w:rsidR="003A576D">
        <w:rPr>
          <w:sz w:val="22"/>
          <w:szCs w:val="22"/>
        </w:rPr>
        <w:t xml:space="preserve">permit </w:t>
      </w:r>
      <w:r w:rsidRPr="0041315F">
        <w:rPr>
          <w:sz w:val="22"/>
          <w:szCs w:val="22"/>
        </w:rPr>
        <w:t xml:space="preserve">package, the required 30-day public comment period, preparation of the final permit package, and resolution of issues raised during the public comment period. </w:t>
      </w:r>
      <w:r w:rsidR="00640DBF">
        <w:rPr>
          <w:sz w:val="22"/>
          <w:szCs w:val="22"/>
        </w:rPr>
        <w:t>Whenever possible, t</w:t>
      </w:r>
      <w:r w:rsidRPr="0041315F">
        <w:rPr>
          <w:sz w:val="22"/>
          <w:szCs w:val="22"/>
        </w:rPr>
        <w:t xml:space="preserve">he draft permit should be provided to the applicant within </w:t>
      </w:r>
      <w:r w:rsidR="00640DBF">
        <w:rPr>
          <w:sz w:val="22"/>
          <w:szCs w:val="22"/>
        </w:rPr>
        <w:t>20</w:t>
      </w:r>
      <w:r w:rsidRPr="0041315F">
        <w:rPr>
          <w:sz w:val="22"/>
          <w:szCs w:val="22"/>
        </w:rPr>
        <w:t xml:space="preserve"> days of a</w:t>
      </w:r>
      <w:r w:rsidR="00640DBF">
        <w:rPr>
          <w:sz w:val="22"/>
          <w:szCs w:val="22"/>
        </w:rPr>
        <w:t>n application being technically</w:t>
      </w:r>
      <w:r w:rsidRPr="0041315F">
        <w:rPr>
          <w:sz w:val="22"/>
          <w:szCs w:val="22"/>
        </w:rPr>
        <w:t xml:space="preserve"> complete.  </w:t>
      </w:r>
    </w:p>
    <w:p w14:paraId="12A9F214" w14:textId="734C0294" w:rsidR="005E7EE3" w:rsidRPr="0041315F" w:rsidRDefault="005E7EE3" w:rsidP="0041315F">
      <w:pPr>
        <w:pStyle w:val="ListParagraph"/>
        <w:numPr>
          <w:ilvl w:val="0"/>
          <w:numId w:val="7"/>
        </w:numPr>
        <w:jc w:val="both"/>
        <w:rPr>
          <w:b/>
          <w:sz w:val="22"/>
          <w:szCs w:val="22"/>
          <w:u w:val="single"/>
        </w:rPr>
      </w:pPr>
      <w:r w:rsidRPr="0041315F">
        <w:rPr>
          <w:sz w:val="22"/>
          <w:szCs w:val="22"/>
        </w:rPr>
        <w:lastRenderedPageBreak/>
        <w:t xml:space="preserve">The draft permit package is to be sent to the applicant for review, including the draft public notice, which is prepared by the permit writer using template provided </w:t>
      </w:r>
      <w:r w:rsidR="00144068">
        <w:rPr>
          <w:sz w:val="22"/>
          <w:szCs w:val="22"/>
        </w:rPr>
        <w:t>in the Templates subfolder of Chapter 5</w:t>
      </w:r>
      <w:r w:rsidRPr="0041315F">
        <w:rPr>
          <w:sz w:val="22"/>
          <w:szCs w:val="22"/>
        </w:rPr>
        <w:t>.</w:t>
      </w:r>
    </w:p>
    <w:p w14:paraId="1CB895B3" w14:textId="77777777" w:rsidR="005E7EE3" w:rsidRPr="0041315F" w:rsidRDefault="005E7EE3" w:rsidP="0041315F">
      <w:pPr>
        <w:pStyle w:val="ListParagraph"/>
        <w:numPr>
          <w:ilvl w:val="0"/>
          <w:numId w:val="7"/>
        </w:numPr>
        <w:jc w:val="both"/>
        <w:rPr>
          <w:b/>
          <w:sz w:val="22"/>
          <w:szCs w:val="22"/>
          <w:u w:val="single"/>
        </w:rPr>
      </w:pPr>
      <w:r w:rsidRPr="0041315F">
        <w:rPr>
          <w:sz w:val="22"/>
          <w:szCs w:val="22"/>
        </w:rPr>
        <w:t>With publication of the public notice, the applicant accepts the draft permit.</w:t>
      </w:r>
    </w:p>
    <w:p w14:paraId="58670254" w14:textId="7C63E753" w:rsidR="005E7EE3" w:rsidRPr="0055522C" w:rsidRDefault="005E7EE3" w:rsidP="0055522C">
      <w:pPr>
        <w:pStyle w:val="ListParagraph"/>
        <w:numPr>
          <w:ilvl w:val="0"/>
          <w:numId w:val="7"/>
        </w:numPr>
        <w:jc w:val="both"/>
        <w:rPr>
          <w:b/>
          <w:sz w:val="22"/>
          <w:szCs w:val="22"/>
          <w:u w:val="single"/>
        </w:rPr>
      </w:pPr>
      <w:r w:rsidRPr="0041315F">
        <w:rPr>
          <w:sz w:val="22"/>
          <w:szCs w:val="22"/>
        </w:rPr>
        <w:t>If the applicant has comments, the permit writer is to work with the applicant to address these comments until both parties agree the permit is ready for public noticing. The regional program manager must review changes to the draft permit.</w:t>
      </w:r>
    </w:p>
    <w:p w14:paraId="02D14854" w14:textId="77777777" w:rsidR="005E7EE3" w:rsidRPr="001201C9" w:rsidRDefault="005E7EE3" w:rsidP="005E7EE3">
      <w:pPr>
        <w:rPr>
          <w:b/>
        </w:rPr>
      </w:pPr>
      <w:r>
        <w:rPr>
          <w:b/>
          <w:u w:val="single"/>
        </w:rPr>
        <w:t>Step 8</w:t>
      </w:r>
      <w:r w:rsidRPr="000C20FC">
        <w:rPr>
          <w:b/>
          <w:u w:val="single"/>
        </w:rPr>
        <w:t>: Public Notice Process</w:t>
      </w:r>
    </w:p>
    <w:p w14:paraId="31D08300" w14:textId="7070470E" w:rsidR="005E7EE3" w:rsidRPr="0041315F" w:rsidRDefault="005E7EE3" w:rsidP="0041315F">
      <w:pPr>
        <w:pStyle w:val="ListParagraph"/>
        <w:numPr>
          <w:ilvl w:val="0"/>
          <w:numId w:val="8"/>
        </w:numPr>
        <w:jc w:val="both"/>
        <w:rPr>
          <w:sz w:val="22"/>
          <w:szCs w:val="22"/>
        </w:rPr>
      </w:pPr>
      <w:r w:rsidRPr="0041315F">
        <w:rPr>
          <w:sz w:val="22"/>
          <w:szCs w:val="22"/>
        </w:rPr>
        <w:t>The applicant is responsible for publishing the public notice in a newspaper of general circulation</w:t>
      </w:r>
      <w:r w:rsidRPr="0041315F">
        <w:rPr>
          <w:rStyle w:val="FootnoteReference"/>
          <w:sz w:val="22"/>
          <w:szCs w:val="22"/>
        </w:rPr>
        <w:footnoteReference w:id="4"/>
      </w:r>
      <w:r w:rsidRPr="0041315F">
        <w:rPr>
          <w:sz w:val="22"/>
          <w:szCs w:val="22"/>
        </w:rPr>
        <w:t xml:space="preserve"> in the area of the proposed activity.</w:t>
      </w:r>
      <w:r w:rsidR="007208F4">
        <w:rPr>
          <w:sz w:val="22"/>
          <w:szCs w:val="22"/>
        </w:rPr>
        <w:t xml:space="preserve"> </w:t>
      </w:r>
      <w:r w:rsidR="007208F4" w:rsidRPr="0041315F">
        <w:rPr>
          <w:sz w:val="22"/>
          <w:szCs w:val="22"/>
        </w:rPr>
        <w:t xml:space="preserve">If the public notice is not published within 14 days of the date of the draft permit transmittal letter, the </w:t>
      </w:r>
      <w:r w:rsidR="00890236" w:rsidRPr="0041315F">
        <w:rPr>
          <w:sz w:val="22"/>
          <w:szCs w:val="22"/>
        </w:rPr>
        <w:t>120-day</w:t>
      </w:r>
      <w:r w:rsidR="007208F4" w:rsidRPr="0041315F">
        <w:rPr>
          <w:sz w:val="22"/>
          <w:szCs w:val="22"/>
        </w:rPr>
        <w:t xml:space="preserve"> clock is suspended until the public notice is </w:t>
      </w:r>
      <w:r w:rsidR="007208F4">
        <w:rPr>
          <w:sz w:val="22"/>
          <w:szCs w:val="22"/>
        </w:rPr>
        <w:t>published (</w:t>
      </w:r>
      <w:hyperlink r:id="rId32" w:history="1">
        <w:r w:rsidR="007208F4" w:rsidRPr="00352CCD">
          <w:rPr>
            <w:rStyle w:val="Hyperlink"/>
            <w:sz w:val="22"/>
            <w:szCs w:val="22"/>
          </w:rPr>
          <w:t>9VAC25-210-140</w:t>
        </w:r>
      </w:hyperlink>
      <w:r w:rsidR="00352CCD">
        <w:rPr>
          <w:sz w:val="22"/>
          <w:szCs w:val="22"/>
        </w:rPr>
        <w:t>.</w:t>
      </w:r>
      <w:r w:rsidR="007208F4">
        <w:rPr>
          <w:sz w:val="22"/>
          <w:szCs w:val="22"/>
        </w:rPr>
        <w:t>A)</w:t>
      </w:r>
      <w:r w:rsidR="007208F4" w:rsidRPr="0041315F">
        <w:rPr>
          <w:sz w:val="22"/>
          <w:szCs w:val="22"/>
        </w:rPr>
        <w:t>.</w:t>
      </w:r>
      <w:r w:rsidR="007208F4">
        <w:rPr>
          <w:sz w:val="22"/>
          <w:szCs w:val="22"/>
        </w:rPr>
        <w:t xml:space="preserve"> Best practice is to communicate with the applicant and request that you receive notification as soon as the publication date is determined between the applicant and the publisher. The IP Draft Transmittal Letter template includes this request.</w:t>
      </w:r>
    </w:p>
    <w:p w14:paraId="273E7198" w14:textId="77777777" w:rsidR="005E7EE3" w:rsidRPr="0041315F" w:rsidRDefault="005E7EE3" w:rsidP="0041315F">
      <w:pPr>
        <w:pStyle w:val="ListParagraph"/>
        <w:numPr>
          <w:ilvl w:val="0"/>
          <w:numId w:val="8"/>
        </w:numPr>
        <w:jc w:val="both"/>
        <w:rPr>
          <w:sz w:val="22"/>
          <w:szCs w:val="22"/>
        </w:rPr>
      </w:pPr>
      <w:r w:rsidRPr="0041315F">
        <w:rPr>
          <w:sz w:val="22"/>
          <w:szCs w:val="22"/>
        </w:rPr>
        <w:t>The applicant is to submit to DEQ a copy of the public notice verification form.</w:t>
      </w:r>
    </w:p>
    <w:p w14:paraId="39EF7D4D" w14:textId="46CC87A3" w:rsidR="000D66DC" w:rsidRPr="000D66DC" w:rsidRDefault="005E7EE3" w:rsidP="000D66DC">
      <w:pPr>
        <w:pStyle w:val="ListParagraph"/>
        <w:numPr>
          <w:ilvl w:val="0"/>
          <w:numId w:val="8"/>
        </w:numPr>
        <w:jc w:val="both"/>
        <w:rPr>
          <w:sz w:val="22"/>
          <w:szCs w:val="22"/>
        </w:rPr>
      </w:pPr>
      <w:r w:rsidRPr="0041315F">
        <w:rPr>
          <w:sz w:val="22"/>
          <w:szCs w:val="22"/>
        </w:rPr>
        <w:t xml:space="preserve">The permit writer will provide a copy of the PN to </w:t>
      </w:r>
      <w:r w:rsidR="003E7A08">
        <w:rPr>
          <w:sz w:val="22"/>
          <w:szCs w:val="22"/>
        </w:rPr>
        <w:t xml:space="preserve">the regional </w:t>
      </w:r>
      <w:r w:rsidRPr="0041315F">
        <w:rPr>
          <w:sz w:val="22"/>
          <w:szCs w:val="22"/>
        </w:rPr>
        <w:t xml:space="preserve">DEQ </w:t>
      </w:r>
      <w:r w:rsidR="003E7A08">
        <w:rPr>
          <w:sz w:val="22"/>
          <w:szCs w:val="22"/>
        </w:rPr>
        <w:t>web author</w:t>
      </w:r>
      <w:r w:rsidRPr="0041315F">
        <w:rPr>
          <w:sz w:val="22"/>
          <w:szCs w:val="22"/>
        </w:rPr>
        <w:t xml:space="preserve"> for posting on DEQ’s website</w:t>
      </w:r>
      <w:r w:rsidR="00EB194B">
        <w:rPr>
          <w:sz w:val="22"/>
          <w:szCs w:val="22"/>
        </w:rPr>
        <w:t xml:space="preserve"> </w:t>
      </w:r>
      <w:hyperlink r:id="rId33" w:history="1">
        <w:r w:rsidR="00EB194B" w:rsidRPr="000D66DC">
          <w:rPr>
            <w:rStyle w:val="Hyperlink"/>
            <w:sz w:val="22"/>
            <w:szCs w:val="22"/>
          </w:rPr>
          <w:t>https://www.deq.virginia.gov/permits/public-notices/water/wetlands-streams-vwp</w:t>
        </w:r>
      </w:hyperlink>
      <w:r w:rsidR="000D66DC">
        <w:rPr>
          <w:sz w:val="22"/>
          <w:szCs w:val="22"/>
        </w:rPr>
        <w:t>.</w:t>
      </w:r>
    </w:p>
    <w:p w14:paraId="74C57BE2" w14:textId="77777777" w:rsidR="005E7EE3" w:rsidRPr="0041315F" w:rsidRDefault="005E7EE3" w:rsidP="0041315F">
      <w:pPr>
        <w:pStyle w:val="ListParagraph"/>
        <w:numPr>
          <w:ilvl w:val="0"/>
          <w:numId w:val="8"/>
        </w:numPr>
        <w:jc w:val="both"/>
        <w:rPr>
          <w:sz w:val="22"/>
          <w:szCs w:val="22"/>
        </w:rPr>
      </w:pPr>
      <w:r w:rsidRPr="0041315F">
        <w:rPr>
          <w:sz w:val="22"/>
          <w:szCs w:val="22"/>
        </w:rPr>
        <w:t>The permit writer will send a copy of the draft permit and public notice to the necessary public officials of the locality(ies) that the proposed project is within. This is typically the Mayor and City Manager for cities and the Board of Supervisors and County Administrator for counties.</w:t>
      </w:r>
    </w:p>
    <w:p w14:paraId="572E8642" w14:textId="732E41BF" w:rsidR="005E7EE3" w:rsidRPr="0041315F" w:rsidRDefault="000629A6" w:rsidP="0041315F">
      <w:pPr>
        <w:pStyle w:val="ListParagraph"/>
        <w:numPr>
          <w:ilvl w:val="0"/>
          <w:numId w:val="8"/>
        </w:numPr>
        <w:jc w:val="both"/>
        <w:rPr>
          <w:sz w:val="22"/>
          <w:szCs w:val="22"/>
        </w:rPr>
      </w:pPr>
      <w:r>
        <w:rPr>
          <w:sz w:val="22"/>
          <w:szCs w:val="22"/>
        </w:rPr>
        <w:t xml:space="preserve">As noted at the beginning of this </w:t>
      </w:r>
      <w:r w:rsidR="006845ED">
        <w:rPr>
          <w:sz w:val="22"/>
          <w:szCs w:val="22"/>
        </w:rPr>
        <w:t>c</w:t>
      </w:r>
      <w:r>
        <w:rPr>
          <w:sz w:val="22"/>
          <w:szCs w:val="22"/>
        </w:rPr>
        <w:t>hapter, t</w:t>
      </w:r>
      <w:r w:rsidR="005E7EE3" w:rsidRPr="0041315F">
        <w:rPr>
          <w:sz w:val="22"/>
          <w:szCs w:val="22"/>
        </w:rPr>
        <w:t xml:space="preserve">he public </w:t>
      </w:r>
      <w:r w:rsidR="003A576D">
        <w:rPr>
          <w:sz w:val="22"/>
          <w:szCs w:val="22"/>
        </w:rPr>
        <w:t>comment</w:t>
      </w:r>
      <w:r w:rsidR="005E7EE3" w:rsidRPr="0041315F">
        <w:rPr>
          <w:sz w:val="22"/>
          <w:szCs w:val="22"/>
        </w:rPr>
        <w:t xml:space="preserve"> period must be a </w:t>
      </w:r>
      <w:r>
        <w:rPr>
          <w:sz w:val="22"/>
          <w:szCs w:val="22"/>
        </w:rPr>
        <w:t>minimum of</w:t>
      </w:r>
      <w:r w:rsidR="005E7EE3" w:rsidRPr="0041315F">
        <w:rPr>
          <w:sz w:val="22"/>
          <w:szCs w:val="22"/>
        </w:rPr>
        <w:t xml:space="preserve"> 30 days after the date of publication.</w:t>
      </w:r>
    </w:p>
    <w:p w14:paraId="2EE1873E" w14:textId="77777777" w:rsidR="005E7EE3" w:rsidRPr="0041315F" w:rsidRDefault="005E7EE3" w:rsidP="0041315F">
      <w:pPr>
        <w:pStyle w:val="ListParagraph"/>
        <w:numPr>
          <w:ilvl w:val="0"/>
          <w:numId w:val="8"/>
        </w:numPr>
        <w:jc w:val="both"/>
        <w:rPr>
          <w:sz w:val="22"/>
          <w:szCs w:val="22"/>
        </w:rPr>
      </w:pPr>
      <w:r w:rsidRPr="0041315F">
        <w:rPr>
          <w:sz w:val="22"/>
          <w:szCs w:val="22"/>
        </w:rPr>
        <w:t>The permit writer should file incoming comments as they are received, and ideally create a centralized means of tracking such comments.</w:t>
      </w:r>
    </w:p>
    <w:p w14:paraId="1D0E1344" w14:textId="77777777" w:rsidR="006F6537" w:rsidRPr="00A45C10" w:rsidRDefault="006F6537" w:rsidP="006F6537">
      <w:pPr>
        <w:rPr>
          <w:b/>
          <w:u w:val="single"/>
        </w:rPr>
      </w:pPr>
      <w:r>
        <w:rPr>
          <w:b/>
          <w:u w:val="single"/>
        </w:rPr>
        <w:t>Step 9: Public Notice Comments Review and Response</w:t>
      </w:r>
    </w:p>
    <w:p w14:paraId="3D2D48E5" w14:textId="2A966277" w:rsidR="006F6537" w:rsidRDefault="006F6537" w:rsidP="0041315F">
      <w:pPr>
        <w:pStyle w:val="ListParagraph"/>
        <w:numPr>
          <w:ilvl w:val="0"/>
          <w:numId w:val="9"/>
        </w:numPr>
        <w:jc w:val="both"/>
        <w:rPr>
          <w:sz w:val="22"/>
          <w:szCs w:val="22"/>
        </w:rPr>
      </w:pPr>
      <w:r w:rsidRPr="0041315F">
        <w:rPr>
          <w:sz w:val="22"/>
          <w:szCs w:val="22"/>
        </w:rPr>
        <w:t xml:space="preserve">If no public hearing is requested, comments on the draft permit will be reviewed and the permit decision made within 90 days of the close of the comment period, and preferably before the </w:t>
      </w:r>
      <w:r w:rsidR="00890236" w:rsidRPr="0041315F">
        <w:rPr>
          <w:sz w:val="22"/>
          <w:szCs w:val="22"/>
        </w:rPr>
        <w:t>120-day</w:t>
      </w:r>
      <w:r w:rsidRPr="0041315F">
        <w:rPr>
          <w:sz w:val="22"/>
          <w:szCs w:val="22"/>
        </w:rPr>
        <w:t xml:space="preserve"> deadline.</w:t>
      </w:r>
    </w:p>
    <w:p w14:paraId="428CC26E" w14:textId="509D310D" w:rsidR="00EA0E2A" w:rsidRPr="00FC24A4" w:rsidRDefault="00EA0E2A" w:rsidP="0041315F">
      <w:pPr>
        <w:pStyle w:val="ListParagraph"/>
        <w:numPr>
          <w:ilvl w:val="0"/>
          <w:numId w:val="9"/>
        </w:numPr>
        <w:jc w:val="both"/>
      </w:pPr>
      <w:r w:rsidRPr="0041315F">
        <w:rPr>
          <w:sz w:val="22"/>
          <w:szCs w:val="22"/>
        </w:rPr>
        <w:t>If</w:t>
      </w:r>
      <w:r>
        <w:rPr>
          <w:sz w:val="22"/>
          <w:szCs w:val="22"/>
        </w:rPr>
        <w:t xml:space="preserve">, during the public comment period, DEQ receives 25 or more requests for a public hearing on the draft permit action, refer to the most recent version of the </w:t>
      </w:r>
      <w:hyperlink r:id="rId34" w:history="1">
        <w:r w:rsidRPr="00333220">
          <w:rPr>
            <w:rStyle w:val="Hyperlink"/>
            <w:sz w:val="22"/>
            <w:szCs w:val="22"/>
          </w:rPr>
          <w:t>“Public Hearing Procedures for Permitting Decisions [9.23.22].pdf”</w:t>
        </w:r>
      </w:hyperlink>
      <w:r>
        <w:rPr>
          <w:sz w:val="22"/>
          <w:szCs w:val="22"/>
        </w:rPr>
        <w:t xml:space="preserve">, as noted at the beginning of this </w:t>
      </w:r>
      <w:r w:rsidR="006845ED">
        <w:rPr>
          <w:sz w:val="22"/>
          <w:szCs w:val="22"/>
        </w:rPr>
        <w:t>c</w:t>
      </w:r>
      <w:r>
        <w:rPr>
          <w:sz w:val="22"/>
          <w:szCs w:val="22"/>
        </w:rPr>
        <w:t>hapter, to complete the permitting process.</w:t>
      </w:r>
      <w:r w:rsidR="00AE155C">
        <w:rPr>
          <w:rStyle w:val="FootnoteReference"/>
          <w:sz w:val="22"/>
          <w:szCs w:val="22"/>
        </w:rPr>
        <w:footnoteReference w:id="5"/>
      </w:r>
    </w:p>
    <w:p w14:paraId="0D525462" w14:textId="17B3082E" w:rsidR="006F6537" w:rsidRPr="0041315F" w:rsidRDefault="006F6537" w:rsidP="0041315F">
      <w:pPr>
        <w:pStyle w:val="ListParagraph"/>
        <w:numPr>
          <w:ilvl w:val="0"/>
          <w:numId w:val="9"/>
        </w:numPr>
        <w:jc w:val="both"/>
        <w:rPr>
          <w:sz w:val="22"/>
          <w:szCs w:val="22"/>
        </w:rPr>
      </w:pPr>
      <w:r w:rsidRPr="0041315F">
        <w:rPr>
          <w:sz w:val="22"/>
          <w:szCs w:val="22"/>
        </w:rPr>
        <w:t xml:space="preserve">The permit writer will need to review each comment with respect to the proposed </w:t>
      </w:r>
      <w:r w:rsidR="00890236" w:rsidRPr="0041315F">
        <w:rPr>
          <w:sz w:val="22"/>
          <w:szCs w:val="22"/>
        </w:rPr>
        <w:t>permit and</w:t>
      </w:r>
      <w:r w:rsidRPr="0041315F">
        <w:rPr>
          <w:sz w:val="22"/>
          <w:szCs w:val="22"/>
        </w:rPr>
        <w:t xml:space="preserve"> determine if the comments relate to subjects under the jurisdiction of the VWP Permit Program.</w:t>
      </w:r>
    </w:p>
    <w:p w14:paraId="6380DA75" w14:textId="1431E5DD" w:rsidR="006F6537" w:rsidRPr="00FC24A4" w:rsidRDefault="006F6537" w:rsidP="00FC24A4">
      <w:pPr>
        <w:pStyle w:val="ListParagraph"/>
        <w:numPr>
          <w:ilvl w:val="0"/>
          <w:numId w:val="9"/>
        </w:numPr>
        <w:jc w:val="both"/>
        <w:rPr>
          <w:sz w:val="22"/>
          <w:szCs w:val="22"/>
        </w:rPr>
      </w:pPr>
      <w:r w:rsidRPr="0041315F">
        <w:rPr>
          <w:sz w:val="22"/>
          <w:szCs w:val="22"/>
        </w:rPr>
        <w:t>Each commenter shall be provided a response if warranted by the nature of the comment. The response will need to address each of the commenter’s concerns and clarify staff’s position on the issuance of the draft permit.</w:t>
      </w:r>
    </w:p>
    <w:p w14:paraId="6149A7F9" w14:textId="65902392" w:rsidR="006F6537" w:rsidRDefault="006F6537" w:rsidP="006F6537">
      <w:pPr>
        <w:rPr>
          <w:b/>
          <w:u w:val="single"/>
        </w:rPr>
      </w:pPr>
      <w:r>
        <w:rPr>
          <w:b/>
          <w:u w:val="single"/>
        </w:rPr>
        <w:t xml:space="preserve">Step </w:t>
      </w:r>
      <w:r w:rsidR="00EA0E2A">
        <w:rPr>
          <w:b/>
          <w:u w:val="single"/>
        </w:rPr>
        <w:t>10</w:t>
      </w:r>
      <w:r>
        <w:rPr>
          <w:b/>
          <w:u w:val="single"/>
        </w:rPr>
        <w:t>: Permit Issuance</w:t>
      </w:r>
    </w:p>
    <w:p w14:paraId="61BDE3C1" w14:textId="42324E73" w:rsidR="006F6537" w:rsidRPr="0041315F" w:rsidRDefault="006F6537" w:rsidP="0041315F">
      <w:pPr>
        <w:pStyle w:val="ListParagraph"/>
        <w:numPr>
          <w:ilvl w:val="0"/>
          <w:numId w:val="11"/>
        </w:numPr>
        <w:jc w:val="both"/>
        <w:rPr>
          <w:b/>
          <w:sz w:val="22"/>
          <w:szCs w:val="22"/>
          <w:u w:val="single"/>
        </w:rPr>
      </w:pPr>
      <w:r w:rsidRPr="0041315F">
        <w:rPr>
          <w:sz w:val="22"/>
          <w:szCs w:val="22"/>
        </w:rPr>
        <w:t>Once the public comment process has been concluded, and there are no comments, or any comments received were satisfactorily addressed, the draft permit is ready for issuance.</w:t>
      </w:r>
    </w:p>
    <w:p w14:paraId="4CD75D52" w14:textId="69A4F738" w:rsidR="006F6537" w:rsidRPr="0041315F" w:rsidRDefault="006F6537" w:rsidP="0041315F">
      <w:pPr>
        <w:pStyle w:val="ListParagraph"/>
        <w:numPr>
          <w:ilvl w:val="0"/>
          <w:numId w:val="11"/>
        </w:numPr>
        <w:jc w:val="both"/>
        <w:rPr>
          <w:b/>
          <w:sz w:val="22"/>
          <w:szCs w:val="22"/>
          <w:u w:val="single"/>
        </w:rPr>
      </w:pPr>
      <w:r w:rsidRPr="0041315F">
        <w:rPr>
          <w:sz w:val="22"/>
          <w:szCs w:val="22"/>
        </w:rPr>
        <w:lastRenderedPageBreak/>
        <w:t xml:space="preserve">The draft permit package will need to be finalized, dated, and signed by the regional program manager </w:t>
      </w:r>
      <w:r w:rsidR="006730A6">
        <w:rPr>
          <w:sz w:val="22"/>
          <w:szCs w:val="22"/>
        </w:rPr>
        <w:t>or</w:t>
      </w:r>
      <w:r w:rsidRPr="0041315F">
        <w:rPr>
          <w:sz w:val="22"/>
          <w:szCs w:val="22"/>
        </w:rPr>
        <w:t xml:space="preserve"> regional director</w:t>
      </w:r>
      <w:r w:rsidR="00FE60EB">
        <w:rPr>
          <w:sz w:val="22"/>
          <w:szCs w:val="22"/>
        </w:rPr>
        <w:t>,</w:t>
      </w:r>
      <w:r w:rsidRPr="0041315F">
        <w:rPr>
          <w:sz w:val="22"/>
          <w:szCs w:val="22"/>
        </w:rPr>
        <w:t xml:space="preserve"> or </w:t>
      </w:r>
      <w:r w:rsidR="00FE60EB">
        <w:rPr>
          <w:sz w:val="22"/>
          <w:szCs w:val="22"/>
        </w:rPr>
        <w:t>either’s</w:t>
      </w:r>
      <w:r w:rsidRPr="0041315F">
        <w:rPr>
          <w:sz w:val="22"/>
          <w:szCs w:val="22"/>
        </w:rPr>
        <w:t xml:space="preserve"> designee.</w:t>
      </w:r>
    </w:p>
    <w:p w14:paraId="7D23F671" w14:textId="20CAFC71" w:rsidR="006F6537" w:rsidRPr="0041315F" w:rsidRDefault="006F6537" w:rsidP="0041315F">
      <w:pPr>
        <w:pStyle w:val="ListParagraph"/>
        <w:numPr>
          <w:ilvl w:val="0"/>
          <w:numId w:val="11"/>
        </w:numPr>
        <w:jc w:val="both"/>
        <w:rPr>
          <w:sz w:val="22"/>
          <w:szCs w:val="22"/>
        </w:rPr>
      </w:pPr>
      <w:r w:rsidRPr="0041315F">
        <w:rPr>
          <w:sz w:val="22"/>
          <w:szCs w:val="22"/>
        </w:rPr>
        <w:t>After signing, the permit is to be sent to the applicant with a copy to the agent by email if agreeable to the permittee</w:t>
      </w:r>
      <w:r w:rsidRPr="007208F4">
        <w:rPr>
          <w:sz w:val="22"/>
          <w:szCs w:val="22"/>
        </w:rPr>
        <w:t>.</w:t>
      </w:r>
      <w:r w:rsidR="007208F4" w:rsidRPr="00FF23EF">
        <w:rPr>
          <w:sz w:val="22"/>
          <w:szCs w:val="22"/>
        </w:rPr>
        <w:t xml:space="preserve"> </w:t>
      </w:r>
      <w:r w:rsidR="00B271E5">
        <w:rPr>
          <w:sz w:val="22"/>
          <w:szCs w:val="22"/>
        </w:rPr>
        <w:t>A</w:t>
      </w:r>
      <w:r w:rsidR="007208F4" w:rsidRPr="00FF23EF">
        <w:rPr>
          <w:sz w:val="22"/>
          <w:szCs w:val="22"/>
        </w:rPr>
        <w:t>lso email an electronic copy to staff counterparts at the USACE and VMRC, or upload to an agency-designated site for their access and download.</w:t>
      </w:r>
    </w:p>
    <w:p w14:paraId="67B23D37" w14:textId="47B22E39" w:rsidR="006F6537" w:rsidRPr="006F6537" w:rsidRDefault="006F6537" w:rsidP="006F6537">
      <w:pPr>
        <w:rPr>
          <w:b/>
          <w:u w:val="single"/>
        </w:rPr>
      </w:pPr>
      <w:r w:rsidRPr="006F6537">
        <w:rPr>
          <w:b/>
          <w:u w:val="single"/>
        </w:rPr>
        <w:t xml:space="preserve">Step </w:t>
      </w:r>
      <w:r w:rsidR="00EA0E2A">
        <w:rPr>
          <w:b/>
          <w:u w:val="single"/>
        </w:rPr>
        <w:t>11</w:t>
      </w:r>
      <w:r w:rsidRPr="006F6537">
        <w:rPr>
          <w:b/>
          <w:u w:val="single"/>
        </w:rPr>
        <w:t>: Permit Denial</w:t>
      </w:r>
    </w:p>
    <w:p w14:paraId="3BE36409" w14:textId="77777777" w:rsidR="006F6537" w:rsidRPr="0041315F" w:rsidRDefault="006F6537" w:rsidP="0041315F">
      <w:pPr>
        <w:pStyle w:val="ListParagraph"/>
        <w:widowControl w:val="0"/>
        <w:numPr>
          <w:ilvl w:val="0"/>
          <w:numId w:val="11"/>
        </w:numPr>
        <w:jc w:val="both"/>
        <w:rPr>
          <w:sz w:val="22"/>
          <w:szCs w:val="22"/>
        </w:rPr>
      </w:pPr>
      <w:r w:rsidRPr="0041315F">
        <w:rPr>
          <w:sz w:val="22"/>
          <w:szCs w:val="22"/>
        </w:rPr>
        <w:t xml:space="preserve">If in the review of a permit, a permit will require denial, refer to Section </w:t>
      </w:r>
      <w:r w:rsidRPr="001822D2">
        <w:rPr>
          <w:sz w:val="22"/>
          <w:szCs w:val="22"/>
        </w:rPr>
        <w:t>5.1</w:t>
      </w:r>
      <w:r w:rsidR="001822D2">
        <w:rPr>
          <w:sz w:val="22"/>
          <w:szCs w:val="22"/>
        </w:rPr>
        <w:t>1</w:t>
      </w:r>
      <w:r w:rsidRPr="001822D2">
        <w:rPr>
          <w:sz w:val="22"/>
          <w:szCs w:val="22"/>
        </w:rPr>
        <w:t>.</w:t>
      </w:r>
    </w:p>
    <w:p w14:paraId="1D818D2E" w14:textId="571E84F9" w:rsidR="00AA054B" w:rsidRDefault="00AA054B" w:rsidP="00AA054B">
      <w:pPr>
        <w:pStyle w:val="Heading2"/>
      </w:pPr>
      <w:bookmarkStart w:id="6" w:name="_Toc536434586"/>
      <w:bookmarkStart w:id="7" w:name="_Toc179189531"/>
      <w:r>
        <w:t>5.3 Individual Permit Applicability</w:t>
      </w:r>
      <w:bookmarkEnd w:id="6"/>
      <w:bookmarkEnd w:id="7"/>
    </w:p>
    <w:p w14:paraId="0E11E45F" w14:textId="75C15D04" w:rsidR="00D66BB4" w:rsidRDefault="00D66BB4" w:rsidP="00D66BB4">
      <w:pPr>
        <w:jc w:val="both"/>
      </w:pPr>
      <w:r w:rsidRPr="009B75E3">
        <w:t>Individual permits</w:t>
      </w:r>
      <w:r>
        <w:t xml:space="preserve"> are issued for proposed activities in both </w:t>
      </w:r>
      <w:r>
        <w:rPr>
          <w:i/>
        </w:rPr>
        <w:t>nontidal and tidal</w:t>
      </w:r>
      <w:r>
        <w:t xml:space="preserve"> waters within the Commonwealth.  </w:t>
      </w:r>
      <w:r w:rsidR="009939CE">
        <w:t xml:space="preserve">The VWP Permit Program Regulation </w:t>
      </w:r>
      <w:r>
        <w:t>details the prohibitions and requirements (</w:t>
      </w:r>
      <w:hyperlink r:id="rId35" w:history="1">
        <w:r w:rsidRPr="00352CCD">
          <w:rPr>
            <w:rStyle w:val="Hyperlink"/>
          </w:rPr>
          <w:t>9VAC25-210-50</w:t>
        </w:r>
      </w:hyperlink>
      <w:r>
        <w:t>) and exclusions (</w:t>
      </w:r>
      <w:hyperlink r:id="rId36" w:history="1">
        <w:r w:rsidRPr="00806DB2">
          <w:rPr>
            <w:rStyle w:val="Hyperlink"/>
          </w:rPr>
          <w:t>9VAC25-210-60</w:t>
        </w:r>
      </w:hyperlink>
      <w:r>
        <w:t xml:space="preserve">) to using VWP individual permits.  </w:t>
      </w:r>
    </w:p>
    <w:p w14:paraId="5F72CF00" w14:textId="4E929235" w:rsidR="00D66BB4" w:rsidRDefault="00D66BB4" w:rsidP="00D66BB4">
      <w:pPr>
        <w:jc w:val="both"/>
      </w:pPr>
      <w:r w:rsidRPr="004B46F0">
        <w:t xml:space="preserve">VWP individual permits are typically </w:t>
      </w:r>
      <w:r>
        <w:t xml:space="preserve">required when a proposed </w:t>
      </w:r>
      <w:r w:rsidRPr="004B46F0">
        <w:t xml:space="preserve">regulated activity </w:t>
      </w:r>
      <w:r>
        <w:t>does not qualify for</w:t>
      </w:r>
      <w:r w:rsidR="00620A80">
        <w:t xml:space="preserve"> coverage under</w:t>
      </w:r>
      <w:r w:rsidRPr="004B46F0">
        <w:t xml:space="preserve"> a VWP general permit</w:t>
      </w:r>
      <w:r>
        <w:t>, or as indicated in Chapter 3</w:t>
      </w:r>
      <w:r w:rsidR="00A51F75">
        <w:t>,</w:t>
      </w:r>
      <w:r>
        <w:t xml:space="preserve"> Appendix A</w:t>
      </w:r>
      <w:r w:rsidRPr="004B46F0">
        <w:t xml:space="preserve">.  </w:t>
      </w:r>
      <w:r>
        <w:t>P</w:t>
      </w:r>
      <w:r w:rsidRPr="004B46F0">
        <w:t xml:space="preserve">roposed </w:t>
      </w:r>
      <w:r w:rsidRPr="00A2684F">
        <w:rPr>
          <w:i/>
        </w:rPr>
        <w:t>nontidal</w:t>
      </w:r>
      <w:r w:rsidRPr="004B46F0">
        <w:t xml:space="preserve"> impacts that are greater than VWP general permit thresho</w:t>
      </w:r>
      <w:r>
        <w:t>lds or that fall into categorical</w:t>
      </w:r>
      <w:r w:rsidRPr="004B46F0">
        <w:t xml:space="preserve"> ex</w:t>
      </w:r>
      <w:r>
        <w:t>ceptions</w:t>
      </w:r>
      <w:r w:rsidRPr="004B46F0">
        <w:t xml:space="preserve"> from </w:t>
      </w:r>
      <w:r>
        <w:t xml:space="preserve">coverage under the </w:t>
      </w:r>
      <w:r w:rsidRPr="004B46F0">
        <w:t>VWP general permits</w:t>
      </w:r>
      <w:r>
        <w:t xml:space="preserve"> will</w:t>
      </w:r>
      <w:r w:rsidR="00743D2D">
        <w:t xml:space="preserve"> generally</w:t>
      </w:r>
      <w:r>
        <w:t xml:space="preserve"> require individual permits.</w:t>
      </w:r>
    </w:p>
    <w:p w14:paraId="527C1F92" w14:textId="60BC42D2" w:rsidR="00D66BB4" w:rsidRPr="00D66BB4" w:rsidRDefault="00D66BB4" w:rsidP="00D66BB4">
      <w:pPr>
        <w:jc w:val="both"/>
      </w:pPr>
      <w:r w:rsidRPr="00A2684F">
        <w:rPr>
          <w:rFonts w:eastAsia="Times New Roman" w:cs="Times New Roman"/>
          <w:color w:val="000000"/>
          <w:szCs w:val="24"/>
        </w:rPr>
        <w:t xml:space="preserve">A project may be elevated to a VWP individual permit, even when it meets the impact thresholds of a VWP general permit, if </w:t>
      </w:r>
      <w:r w:rsidR="00484F70">
        <w:rPr>
          <w:rFonts w:eastAsia="Times New Roman" w:cs="Times New Roman"/>
          <w:color w:val="000000"/>
          <w:szCs w:val="24"/>
        </w:rPr>
        <w:t>s</w:t>
      </w:r>
      <w:r>
        <w:rPr>
          <w:rFonts w:eastAsia="Times New Roman" w:cs="Times New Roman"/>
          <w:color w:val="000000"/>
          <w:szCs w:val="24"/>
        </w:rPr>
        <w:t>taff</w:t>
      </w:r>
      <w:r w:rsidRPr="00A2684F">
        <w:rPr>
          <w:rFonts w:eastAsia="Times New Roman" w:cs="Times New Roman"/>
          <w:color w:val="000000"/>
          <w:szCs w:val="24"/>
        </w:rPr>
        <w:t xml:space="preserve"> determines that the project will have greater than minimal impacts</w:t>
      </w:r>
      <w:r>
        <w:rPr>
          <w:rFonts w:eastAsia="Times New Roman" w:cs="Times New Roman"/>
          <w:color w:val="000000"/>
          <w:szCs w:val="24"/>
        </w:rPr>
        <w:t xml:space="preserve"> or has complex issues related to development, avoidance, compensation, </w:t>
      </w:r>
      <w:r w:rsidR="00CB7465">
        <w:rPr>
          <w:rFonts w:eastAsia="Times New Roman" w:cs="Times New Roman"/>
          <w:color w:val="000000"/>
          <w:szCs w:val="24"/>
        </w:rPr>
        <w:t xml:space="preserve">threatened and endangered species </w:t>
      </w:r>
      <w:r>
        <w:rPr>
          <w:rFonts w:eastAsia="Times New Roman" w:cs="Times New Roman"/>
          <w:color w:val="000000"/>
          <w:szCs w:val="24"/>
        </w:rPr>
        <w:t>or natural resources</w:t>
      </w:r>
      <w:r w:rsidRPr="00A2684F">
        <w:rPr>
          <w:rFonts w:eastAsia="Times New Roman" w:cs="Times New Roman"/>
          <w:color w:val="000000"/>
          <w:szCs w:val="24"/>
        </w:rPr>
        <w:t xml:space="preserve">. Circumstances under which this may occur can be </w:t>
      </w:r>
      <w:r w:rsidRPr="00083964">
        <w:rPr>
          <w:rFonts w:eastAsia="Times New Roman" w:cs="Times New Roman"/>
          <w:color w:val="000000"/>
          <w:szCs w:val="24"/>
        </w:rPr>
        <w:t xml:space="preserve">found in </w:t>
      </w:r>
      <w:hyperlink r:id="rId37" w:history="1">
        <w:r w:rsidRPr="00806DB2">
          <w:rPr>
            <w:rStyle w:val="Hyperlink"/>
            <w:rFonts w:eastAsia="Times New Roman" w:cs="Times New Roman"/>
            <w:szCs w:val="24"/>
          </w:rPr>
          <w:t>9VAC25-210-130</w:t>
        </w:r>
      </w:hyperlink>
      <w:r w:rsidR="00806DB2">
        <w:rPr>
          <w:rFonts w:eastAsia="Times New Roman" w:cs="Times New Roman"/>
          <w:color w:val="000000"/>
          <w:szCs w:val="24"/>
        </w:rPr>
        <w:t>.</w:t>
      </w:r>
      <w:r w:rsidRPr="00083964">
        <w:rPr>
          <w:rFonts w:eastAsia="Times New Roman" w:cs="Times New Roman"/>
          <w:color w:val="000000"/>
          <w:szCs w:val="24"/>
        </w:rPr>
        <w:t>B</w:t>
      </w:r>
      <w:r>
        <w:rPr>
          <w:rFonts w:eastAsia="Times New Roman" w:cs="Times New Roman"/>
          <w:color w:val="000000"/>
          <w:szCs w:val="24"/>
        </w:rPr>
        <w:t xml:space="preserve"> (see also</w:t>
      </w:r>
      <w:r>
        <w:t xml:space="preserve"> </w:t>
      </w:r>
      <w:r w:rsidRPr="001822D2">
        <w:t>Section 1.5.4)</w:t>
      </w:r>
      <w:r w:rsidRPr="001822D2">
        <w:rPr>
          <w:rFonts w:eastAsia="Times New Roman" w:cs="Times New Roman"/>
          <w:color w:val="000000"/>
          <w:szCs w:val="24"/>
        </w:rPr>
        <w:t>.</w:t>
      </w:r>
    </w:p>
    <w:p w14:paraId="7ED40571" w14:textId="4E3A2DF4" w:rsidR="00AA054B" w:rsidRDefault="00AA054B" w:rsidP="00AA054B">
      <w:pPr>
        <w:pStyle w:val="Heading2"/>
      </w:pPr>
      <w:bookmarkStart w:id="8" w:name="_Toc536434587"/>
      <w:bookmarkStart w:id="9" w:name="_Toc179189532"/>
      <w:r>
        <w:t>5.4 Joint Permit Application Review</w:t>
      </w:r>
      <w:bookmarkEnd w:id="8"/>
      <w:bookmarkEnd w:id="9"/>
    </w:p>
    <w:p w14:paraId="26E1C55A" w14:textId="31039447" w:rsidR="00D66BB4" w:rsidRDefault="00D66BB4" w:rsidP="00D66BB4">
      <w:pPr>
        <w:jc w:val="both"/>
      </w:pPr>
      <w:r>
        <w:t>T</w:t>
      </w:r>
      <w:r w:rsidRPr="004B46F0">
        <w:t>he requirements for a complete applica</w:t>
      </w:r>
      <w:r w:rsidRPr="00083964">
        <w:t xml:space="preserve">tion for a VWP Individual Permit (IP) </w:t>
      </w:r>
      <w:r>
        <w:t>are provided in</w:t>
      </w:r>
      <w:r w:rsidRPr="00083964">
        <w:t xml:space="preserve"> </w:t>
      </w:r>
      <w:hyperlink r:id="rId38" w:history="1">
        <w:r w:rsidRPr="000840BD">
          <w:rPr>
            <w:rStyle w:val="Hyperlink"/>
          </w:rPr>
          <w:t>9VAC25-210-80</w:t>
        </w:r>
      </w:hyperlink>
      <w:r w:rsidR="000840BD">
        <w:t>.</w:t>
      </w:r>
      <w:r>
        <w:t xml:space="preserve">B. </w:t>
      </w:r>
      <w:r w:rsidRPr="00083964">
        <w:t xml:space="preserve">Refer </w:t>
      </w:r>
      <w:r>
        <w:t xml:space="preserve">to </w:t>
      </w:r>
      <w:r w:rsidRPr="001822D2">
        <w:t>Section 3.1 when</w:t>
      </w:r>
      <w:r w:rsidRPr="00083964">
        <w:t xml:space="preserve"> reviewing</w:t>
      </w:r>
      <w:r>
        <w:t xml:space="preserve"> a joint permit application (JPA) for completeness and for further directions concerning additional information requests.</w:t>
      </w:r>
    </w:p>
    <w:p w14:paraId="3E5CC691" w14:textId="1AF93A94" w:rsidR="00D66BB4" w:rsidRDefault="00D66BB4" w:rsidP="00D66BB4">
      <w:pPr>
        <w:jc w:val="both"/>
        <w:rPr>
          <w:rFonts w:eastAsia="Times New Roman"/>
        </w:rPr>
      </w:pPr>
      <w:r>
        <w:rPr>
          <w:rFonts w:eastAsia="Times New Roman"/>
        </w:rPr>
        <w:t xml:space="preserve">Items such as </w:t>
      </w:r>
      <w:r w:rsidR="003A576D">
        <w:rPr>
          <w:rFonts w:eastAsia="Times New Roman"/>
        </w:rPr>
        <w:t xml:space="preserve">project purpose and need, </w:t>
      </w:r>
      <w:r>
        <w:rPr>
          <w:rFonts w:eastAsia="Times New Roman"/>
        </w:rPr>
        <w:t>avoidance and minimization of impacts to surface waters, the amount of surface water impacts, and the proposed compensatory mitigation and will require thorough review. The applicant must clearly demonstrate that the proposed development plan is the least environmentally damaging practicable alternative (LEDPA</w:t>
      </w:r>
      <w:r w:rsidR="00890236">
        <w:rPr>
          <w:rFonts w:eastAsia="Times New Roman"/>
        </w:rPr>
        <w:t>) and</w:t>
      </w:r>
      <w:r>
        <w:rPr>
          <w:rFonts w:eastAsia="Times New Roman"/>
        </w:rPr>
        <w:t xml:space="preserve"> must document site plan alternatives to this effect. The possibility of </w:t>
      </w:r>
      <w:r w:rsidR="00377B74">
        <w:rPr>
          <w:rFonts w:eastAsia="Times New Roman"/>
        </w:rPr>
        <w:t xml:space="preserve">permanent impacts related to permittee responsible mitigation, and/or </w:t>
      </w:r>
      <w:r>
        <w:rPr>
          <w:rFonts w:eastAsia="Times New Roman"/>
        </w:rPr>
        <w:t>secondary impacts due to changes in hydrology, fragmentation of remnant surface waters, and other development-related disturbances</w:t>
      </w:r>
      <w:r w:rsidR="00377B74">
        <w:rPr>
          <w:rFonts w:eastAsia="Times New Roman"/>
        </w:rPr>
        <w:t>,</w:t>
      </w:r>
      <w:r>
        <w:rPr>
          <w:rFonts w:eastAsia="Times New Roman"/>
        </w:rPr>
        <w:t xml:space="preserve"> will need to be thoroughly considered by the permit writer during the review of the permit application. </w:t>
      </w:r>
    </w:p>
    <w:p w14:paraId="083A7D59" w14:textId="543991E8" w:rsidR="00D66BB4" w:rsidRPr="00D66BB4" w:rsidRDefault="00D66BB4" w:rsidP="00D66BB4">
      <w:pPr>
        <w:jc w:val="both"/>
      </w:pPr>
      <w:r w:rsidRPr="00083964">
        <w:rPr>
          <w:rFonts w:eastAsia="Times New Roman"/>
        </w:rPr>
        <w:t xml:space="preserve">While </w:t>
      </w:r>
      <w:hyperlink r:id="rId39" w:history="1">
        <w:r w:rsidRPr="000840BD">
          <w:rPr>
            <w:rStyle w:val="Hyperlink"/>
            <w:rFonts w:eastAsia="Times New Roman"/>
          </w:rPr>
          <w:t>9VAC25-210-80</w:t>
        </w:r>
      </w:hyperlink>
      <w:r w:rsidR="000840BD">
        <w:rPr>
          <w:rFonts w:eastAsia="Times New Roman"/>
        </w:rPr>
        <w:t>.</w:t>
      </w:r>
      <w:r w:rsidRPr="00083964">
        <w:rPr>
          <w:rFonts w:eastAsia="Times New Roman"/>
        </w:rPr>
        <w:t>B</w:t>
      </w:r>
      <w:r>
        <w:rPr>
          <w:rFonts w:eastAsia="Times New Roman"/>
        </w:rPr>
        <w:t xml:space="preserve"> may list all the informational requirements of a complete application, other sections of the SWCL, regulations, and DEQ Guidance outline specific requirements of a VWP Permit; therefore, </w:t>
      </w:r>
      <w:r w:rsidR="009F3FCE">
        <w:rPr>
          <w:rFonts w:eastAsia="Times New Roman"/>
        </w:rPr>
        <w:t>staff</w:t>
      </w:r>
      <w:r>
        <w:rPr>
          <w:rFonts w:eastAsia="Times New Roman"/>
        </w:rPr>
        <w:t xml:space="preserve"> is responsible for reviewing the application in accordance with all applicable regulations and Agency guidance and policy.</w:t>
      </w:r>
      <w:r w:rsidR="00943495">
        <w:rPr>
          <w:rFonts w:eastAsia="Times New Roman"/>
        </w:rPr>
        <w:t xml:space="preserve"> In 2023, complete application checklists were developed to aid applicants in providing required information </w:t>
      </w:r>
      <w:r w:rsidR="00943495">
        <w:rPr>
          <w:rFonts w:cstheme="minorHAnsi"/>
        </w:rPr>
        <w:t xml:space="preserve">and to aid in application review by DEQ staff </w:t>
      </w:r>
      <w:r w:rsidR="00943495">
        <w:rPr>
          <w:rFonts w:eastAsia="Times New Roman"/>
        </w:rPr>
        <w:t>(</w:t>
      </w:r>
      <w:r w:rsidR="00943495">
        <w:rPr>
          <w:rFonts w:cstheme="minorHAnsi"/>
        </w:rPr>
        <w:t>on DEQ’s web site</w:t>
      </w:r>
      <w:r w:rsidR="0016724B">
        <w:rPr>
          <w:rFonts w:cstheme="minorHAnsi"/>
        </w:rPr>
        <w:t xml:space="preserve">: </w:t>
      </w:r>
      <w:hyperlink r:id="rId40" w:history="1">
        <w:r w:rsidR="0016724B" w:rsidRPr="0016724B">
          <w:rPr>
            <w:rStyle w:val="Hyperlink"/>
            <w:rFonts w:cstheme="minorHAnsi"/>
          </w:rPr>
          <w:t>https://www.deq.virginia.gov/permits/water/wetlands-streams-vwp</w:t>
        </w:r>
      </w:hyperlink>
      <w:r w:rsidR="00943495">
        <w:rPr>
          <w:rFonts w:cstheme="minorHAnsi"/>
        </w:rPr>
        <w:t>).</w:t>
      </w:r>
    </w:p>
    <w:p w14:paraId="46E77C8C" w14:textId="7F774558" w:rsidR="00AA054B" w:rsidRDefault="00AA054B" w:rsidP="00AA054B">
      <w:pPr>
        <w:pStyle w:val="Heading3"/>
      </w:pPr>
      <w:bookmarkStart w:id="10" w:name="_Toc536434588"/>
      <w:bookmarkStart w:id="11" w:name="_Toc179189533"/>
      <w:r>
        <w:lastRenderedPageBreak/>
        <w:t>5.4.1 Determining the Application Fee</w:t>
      </w:r>
      <w:bookmarkEnd w:id="10"/>
      <w:bookmarkEnd w:id="11"/>
    </w:p>
    <w:p w14:paraId="39A1F00F" w14:textId="7A3FD9B5" w:rsidR="00F9405A" w:rsidRPr="00F9405A" w:rsidRDefault="00F9405A" w:rsidP="00F9405A">
      <w:pPr>
        <w:jc w:val="both"/>
      </w:pPr>
      <w:r>
        <w:t xml:space="preserve">To determine the application fee due for a particular individual permit, </w:t>
      </w:r>
      <w:r w:rsidR="009F3FCE">
        <w:t>staff</w:t>
      </w:r>
      <w:r>
        <w:t xml:space="preserve"> will need to determine the total acreage of impacts (permanent and temporary) proposed to all surface waters, including wetlands, open water, and stream channels. Refer to </w:t>
      </w:r>
      <w:r w:rsidRPr="001822D2">
        <w:t xml:space="preserve">Section </w:t>
      </w:r>
      <w:r w:rsidR="00790D16">
        <w:t>3.4</w:t>
      </w:r>
      <w:r w:rsidRPr="003F14F3">
        <w:t xml:space="preserve"> of</w:t>
      </w:r>
      <w:r>
        <w:t xml:space="preserve"> this manual for further directions concerning the application fee.</w:t>
      </w:r>
    </w:p>
    <w:p w14:paraId="14834A31" w14:textId="40D14B99" w:rsidR="00AA054B" w:rsidRDefault="00AA054B" w:rsidP="00AA054B">
      <w:pPr>
        <w:pStyle w:val="Heading3"/>
      </w:pPr>
      <w:bookmarkStart w:id="12" w:name="_Toc536434589"/>
      <w:bookmarkStart w:id="13" w:name="_Toc179189534"/>
      <w:r>
        <w:t>5.4.2 Avoidance and Minimization</w:t>
      </w:r>
      <w:bookmarkEnd w:id="12"/>
      <w:bookmarkEnd w:id="13"/>
    </w:p>
    <w:p w14:paraId="0BC1EC02" w14:textId="6D2A717F" w:rsidR="00F9405A" w:rsidRDefault="00F9405A" w:rsidP="00F9405A">
      <w:pPr>
        <w:jc w:val="both"/>
      </w:pPr>
      <w:r>
        <w:t xml:space="preserve">VWP Permit Program </w:t>
      </w:r>
      <w:r w:rsidRPr="005E0B92">
        <w:t>regulations incorporate, by</w:t>
      </w:r>
      <w:r>
        <w:t xml:space="preserve"> </w:t>
      </w:r>
      <w:r w:rsidRPr="005E0B92">
        <w:t>reference, the mitigation sequencing guidelines from the Clean Water Act, also known as the Section</w:t>
      </w:r>
      <w:r>
        <w:t xml:space="preserve"> 404(b)(1</w:t>
      </w:r>
      <w:r w:rsidR="00A355F8">
        <w:t>) guidelines (</w:t>
      </w:r>
      <w:hyperlink r:id="rId41" w:history="1">
        <w:r w:rsidR="00A355F8" w:rsidRPr="00874520">
          <w:rPr>
            <w:rStyle w:val="Hyperlink"/>
          </w:rPr>
          <w:t>9VAC25-210-116</w:t>
        </w:r>
      </w:hyperlink>
      <w:r w:rsidR="00874520">
        <w:t>.</w:t>
      </w:r>
      <w:r w:rsidRPr="00C72951">
        <w:t>C</w:t>
      </w:r>
      <w:r w:rsidR="00874520">
        <w:t>.</w:t>
      </w:r>
      <w:r w:rsidRPr="00C72951">
        <w:t>1).</w:t>
      </w:r>
      <w:r w:rsidRPr="005E0B92">
        <w:t xml:space="preserve"> These implementing guidelines for the Clean Water</w:t>
      </w:r>
      <w:r>
        <w:t xml:space="preserve"> </w:t>
      </w:r>
      <w:r w:rsidRPr="005E0B92">
        <w:t>Act (40 CFR 230.10) state that the burden of proof for demonstrating compliance with the Section</w:t>
      </w:r>
      <w:r>
        <w:t xml:space="preserve"> </w:t>
      </w:r>
      <w:r w:rsidRPr="005E0B92">
        <w:t>404(b)(1) guidelines is the responsibility of the applicant, not the permitting entity. Applicants must (1)</w:t>
      </w:r>
      <w:r>
        <w:t xml:space="preserve"> </w:t>
      </w:r>
      <w:r w:rsidRPr="005E0B92">
        <w:t xml:space="preserve">establish that avoidance of impacts to state waters, including wetlands is not practicable; (2) </w:t>
      </w:r>
      <w:r>
        <w:t>d</w:t>
      </w:r>
      <w:r w:rsidRPr="005E0B92">
        <w:t>emonstrate</w:t>
      </w:r>
      <w:r>
        <w:t xml:space="preserve"> </w:t>
      </w:r>
      <w:r w:rsidRPr="005E0B92">
        <w:t>that all practicable efforts to minimize unavoidable impacts to state waters, including wetlands, have been</w:t>
      </w:r>
      <w:r>
        <w:t xml:space="preserve"> </w:t>
      </w:r>
      <w:r w:rsidRPr="005E0B92">
        <w:t>taken in project design and construction plan; and (3) provide a plan for compensation for all unavoidable</w:t>
      </w:r>
      <w:r>
        <w:t xml:space="preserve"> </w:t>
      </w:r>
      <w:r w:rsidRPr="005E0B92">
        <w:t>impacts.</w:t>
      </w:r>
      <w:r>
        <w:t xml:space="preserve"> As part of the permit evaluation process used to authorize a particular project proposing to impact surface waters, the VWP Permit Program regulations incorporate the concept of avoidance and minimization from  the </w:t>
      </w:r>
      <w:r w:rsidRPr="00442150">
        <w:rPr>
          <w:rFonts w:cstheme="minorHAnsi"/>
          <w:i/>
        </w:rPr>
        <w:t>Guidelines for Specification of Disposal Sites for Dredged or Fill Material</w:t>
      </w:r>
      <w:r w:rsidRPr="0039675E">
        <w:rPr>
          <w:rFonts w:cstheme="minorHAnsi"/>
        </w:rPr>
        <w:t xml:space="preserve">, </w:t>
      </w:r>
      <w:hyperlink r:id="rId42" w:history="1">
        <w:r w:rsidRPr="00901C49">
          <w:rPr>
            <w:rStyle w:val="Hyperlink"/>
            <w:rFonts w:cstheme="minorHAnsi"/>
          </w:rPr>
          <w:t>40 CFR Part 230</w:t>
        </w:r>
      </w:hyperlink>
      <w:r w:rsidRPr="00717B9A">
        <w:rPr>
          <w:rStyle w:val="Hyperlink"/>
          <w:rFonts w:cstheme="minorHAnsi"/>
        </w:rPr>
        <w:t>,</w:t>
      </w:r>
      <w:r>
        <w:t xml:space="preserve"> also known as the Section 404(b)(1) guidelines (</w:t>
      </w:r>
      <w:hyperlink r:id="rId43" w:history="1">
        <w:r w:rsidRPr="00874520">
          <w:rPr>
            <w:rStyle w:val="Hyperlink"/>
          </w:rPr>
          <w:t>9VAC25-210-80</w:t>
        </w:r>
      </w:hyperlink>
      <w:r w:rsidR="00874520">
        <w:t>.</w:t>
      </w:r>
      <w:r>
        <w:t>B</w:t>
      </w:r>
      <w:r w:rsidR="00874520">
        <w:t>.</w:t>
      </w:r>
      <w:r>
        <w:t>1</w:t>
      </w:r>
      <w:r w:rsidR="00874520">
        <w:t>.</w:t>
      </w:r>
      <w:r>
        <w:t>g).</w:t>
      </w:r>
    </w:p>
    <w:p w14:paraId="2987B0AA" w14:textId="6B4F8AEE" w:rsidR="00F9405A" w:rsidRPr="00F9405A" w:rsidRDefault="00F9405A" w:rsidP="00F9405A">
      <w:pPr>
        <w:jc w:val="both"/>
      </w:pPr>
      <w:r>
        <w:t xml:space="preserve">Refer to </w:t>
      </w:r>
      <w:r w:rsidRPr="001822D2">
        <w:t>Section</w:t>
      </w:r>
      <w:r w:rsidR="00855749">
        <w:t>s</w:t>
      </w:r>
      <w:r w:rsidRPr="001822D2">
        <w:t xml:space="preserve"> 3.</w:t>
      </w:r>
      <w:r w:rsidR="001822D2" w:rsidRPr="001822D2">
        <w:t>3</w:t>
      </w:r>
      <w:r w:rsidR="00855749">
        <w:t xml:space="preserve"> and 3.5</w:t>
      </w:r>
      <w:r w:rsidRPr="003F14F3">
        <w:t xml:space="preserve"> o</w:t>
      </w:r>
      <w:r>
        <w:t xml:space="preserve">f this </w:t>
      </w:r>
      <w:proofErr w:type="gramStart"/>
      <w:r>
        <w:t>manual</w:t>
      </w:r>
      <w:proofErr w:type="gramEnd"/>
      <w:r>
        <w:t xml:space="preserve"> for further directions concerning avoidance and minimization.</w:t>
      </w:r>
    </w:p>
    <w:p w14:paraId="55913C7A" w14:textId="7DE75E8C" w:rsidR="00AA054B" w:rsidRDefault="00AA054B" w:rsidP="00AA054B">
      <w:pPr>
        <w:pStyle w:val="Heading3"/>
      </w:pPr>
      <w:bookmarkStart w:id="14" w:name="_Toc536434590"/>
      <w:bookmarkStart w:id="15" w:name="_Toc179189535"/>
      <w:r>
        <w:t>5.4.3 Compensation</w:t>
      </w:r>
      <w:bookmarkEnd w:id="14"/>
      <w:bookmarkEnd w:id="15"/>
    </w:p>
    <w:p w14:paraId="3FCA028A" w14:textId="29BD657F" w:rsidR="00F9405A" w:rsidRPr="00F9405A" w:rsidRDefault="00F9405A" w:rsidP="00F9405A">
      <w:pPr>
        <w:jc w:val="both"/>
      </w:pPr>
      <w:r w:rsidRPr="00EA0651">
        <w:t xml:space="preserve">In accordance with </w:t>
      </w:r>
      <w:hyperlink r:id="rId44" w:history="1">
        <w:r w:rsidRPr="00874520">
          <w:rPr>
            <w:rStyle w:val="Hyperlink"/>
          </w:rPr>
          <w:t>9VAC25-210-80</w:t>
        </w:r>
      </w:hyperlink>
      <w:r w:rsidR="00874520">
        <w:t>.</w:t>
      </w:r>
      <w:r w:rsidRPr="00E6154F">
        <w:t>B</w:t>
      </w:r>
      <w:r w:rsidR="00874520">
        <w:t>.</w:t>
      </w:r>
      <w:r w:rsidRPr="00E6154F">
        <w:t>1</w:t>
      </w:r>
      <w:r w:rsidR="00874520">
        <w:t>.</w:t>
      </w:r>
      <w:r w:rsidRPr="00E6154F">
        <w:t>m, all</w:t>
      </w:r>
      <w:r>
        <w:t xml:space="preserve"> permanent</w:t>
      </w:r>
      <w:r w:rsidRPr="00EA0651">
        <w:t xml:space="preserve"> impacts to surface waters require compensatory mitigation</w:t>
      </w:r>
      <w:r>
        <w:t xml:space="preserve"> without exception</w:t>
      </w:r>
      <w:r w:rsidR="00377B74">
        <w:t>, including those incurred during the construction or development of a permittee responsible mitigation site</w:t>
      </w:r>
      <w:r>
        <w:t xml:space="preserve">.  Such proposals shall follow </w:t>
      </w:r>
      <w:r w:rsidRPr="00EA0651">
        <w:t xml:space="preserve">the </w:t>
      </w:r>
      <w:r w:rsidR="00C55066">
        <w:t>USACE</w:t>
      </w:r>
      <w:r w:rsidRPr="001644EE">
        <w:t>-EPA</w:t>
      </w:r>
      <w:r w:rsidRPr="00EA0651">
        <w:t xml:space="preserve"> Compensatory Mitigation for Losses of Aquatic Resources dated April 10, 2008 (33 CFR 325 and 332; 40 CFR 230)</w:t>
      </w:r>
      <w:r>
        <w:t>. R</w:t>
      </w:r>
      <w:r w:rsidRPr="003F14F3">
        <w:t xml:space="preserve">efer to </w:t>
      </w:r>
      <w:r w:rsidRPr="001822D2">
        <w:t>Section</w:t>
      </w:r>
      <w:r w:rsidR="00377B74">
        <w:t>s</w:t>
      </w:r>
      <w:r w:rsidRPr="001822D2">
        <w:t xml:space="preserve"> 3.</w:t>
      </w:r>
      <w:r w:rsidR="001822D2" w:rsidRPr="001822D2">
        <w:t>5</w:t>
      </w:r>
      <w:r w:rsidR="00377B74">
        <w:t xml:space="preserve"> through 3.7</w:t>
      </w:r>
      <w:r w:rsidRPr="003F14F3">
        <w:t xml:space="preserve"> of this </w:t>
      </w:r>
      <w:proofErr w:type="gramStart"/>
      <w:r w:rsidRPr="003F14F3">
        <w:t>manual</w:t>
      </w:r>
      <w:proofErr w:type="gramEnd"/>
      <w:r w:rsidRPr="003F14F3">
        <w:t xml:space="preserve"> for further directions concerning compensatory mitigation.</w:t>
      </w:r>
    </w:p>
    <w:p w14:paraId="43D04964" w14:textId="77777777" w:rsidR="00AA054B" w:rsidRDefault="00AA054B" w:rsidP="00AA054B">
      <w:pPr>
        <w:pStyle w:val="Heading3"/>
      </w:pPr>
      <w:bookmarkStart w:id="16" w:name="_Toc536434591"/>
      <w:bookmarkStart w:id="17" w:name="_Toc179189536"/>
      <w:r>
        <w:t>5.4.4 Site Visit</w:t>
      </w:r>
      <w:bookmarkEnd w:id="16"/>
      <w:bookmarkEnd w:id="17"/>
    </w:p>
    <w:p w14:paraId="289C5254" w14:textId="1A071944" w:rsidR="00F9405A" w:rsidRPr="00F9405A" w:rsidRDefault="00F9405A" w:rsidP="00F9405A">
      <w:pPr>
        <w:jc w:val="both"/>
      </w:pPr>
      <w:r w:rsidRPr="00397ADA">
        <w:t xml:space="preserve">A site visit is typically conducted for all new individual </w:t>
      </w:r>
      <w:r>
        <w:t xml:space="preserve">permit applications so that </w:t>
      </w:r>
      <w:r w:rsidR="009F3FCE">
        <w:t>staff</w:t>
      </w:r>
      <w:r>
        <w:t xml:space="preserve"> </w:t>
      </w:r>
      <w:r w:rsidRPr="00397ADA">
        <w:t xml:space="preserve">may familiarize themselves with the site and investigate areas of concern identified during the initial permit application review process. </w:t>
      </w:r>
      <w:r>
        <w:t xml:space="preserve">Refer to </w:t>
      </w:r>
      <w:r w:rsidRPr="001822D2">
        <w:t xml:space="preserve">Section </w:t>
      </w:r>
      <w:r w:rsidR="00855749">
        <w:t>3.8</w:t>
      </w:r>
      <w:r w:rsidRPr="003F14F3">
        <w:t xml:space="preserve"> of t</w:t>
      </w:r>
      <w:r>
        <w:t>his manual for further directions concerning site visits.</w:t>
      </w:r>
    </w:p>
    <w:p w14:paraId="100F218E" w14:textId="77777777" w:rsidR="00AA054B" w:rsidRDefault="00AA054B" w:rsidP="00AA054B">
      <w:pPr>
        <w:pStyle w:val="Heading2"/>
      </w:pPr>
      <w:bookmarkStart w:id="18" w:name="_Toc536434592"/>
      <w:bookmarkStart w:id="19" w:name="_Toc179189537"/>
      <w:r>
        <w:t>5.5 Local Government Notification</w:t>
      </w:r>
      <w:bookmarkEnd w:id="18"/>
      <w:bookmarkEnd w:id="19"/>
    </w:p>
    <w:p w14:paraId="2F87118A" w14:textId="77777777" w:rsidR="00F9405A" w:rsidRPr="009C3505" w:rsidRDefault="00F9405A" w:rsidP="00F9405A">
      <w:pPr>
        <w:jc w:val="both"/>
      </w:pPr>
      <w:r w:rsidRPr="009C3505">
        <w:t>Notification to local officials should occur either concurrently with the application review process or once the application is complete.  If the project exists along a county border, or a local municipality within a county, the permit writer will need to notify each affected locality. Generally, the names and addresses of the local officials can be obtained from local government web sites.</w:t>
      </w:r>
    </w:p>
    <w:p w14:paraId="6BB8A383" w14:textId="2978CDED" w:rsidR="00F9405A" w:rsidRPr="00F9405A" w:rsidRDefault="00A1138B" w:rsidP="00F9405A">
      <w:pPr>
        <w:jc w:val="both"/>
      </w:pPr>
      <w:r>
        <w:t>P</w:t>
      </w:r>
      <w:r w:rsidR="003A576D">
        <w:t>er §</w:t>
      </w:r>
      <w:r w:rsidR="00C52B58">
        <w:t xml:space="preserve"> </w:t>
      </w:r>
      <w:hyperlink r:id="rId45" w:history="1">
        <w:r w:rsidR="003A576D" w:rsidRPr="00C46395">
          <w:rPr>
            <w:rStyle w:val="Hyperlink"/>
          </w:rPr>
          <w:t>62.1-44.15:4</w:t>
        </w:r>
      </w:hyperlink>
      <w:r w:rsidR="003A576D">
        <w:t xml:space="preserve"> of the Code of Virginia</w:t>
      </w:r>
      <w:r w:rsidR="00D23CE7">
        <w:t xml:space="preserve"> (Chapter 3.1, Article 2)</w:t>
      </w:r>
      <w:r w:rsidR="003A576D">
        <w:t>, t</w:t>
      </w:r>
      <w:r w:rsidR="00F9405A" w:rsidRPr="009C3505">
        <w:t>he</w:t>
      </w:r>
      <w:r w:rsidR="00F9405A" w:rsidRPr="009C3505">
        <w:rPr>
          <w:spacing w:val="-3"/>
        </w:rPr>
        <w:t xml:space="preserve"> </w:t>
      </w:r>
      <w:r w:rsidR="00F9405A" w:rsidRPr="009C3505">
        <w:t xml:space="preserve">local official </w:t>
      </w:r>
      <w:r w:rsidR="00F9405A" w:rsidRPr="009C3505">
        <w:rPr>
          <w:spacing w:val="-3"/>
        </w:rPr>
        <w:t xml:space="preserve">notification letter should include </w:t>
      </w:r>
      <w:r w:rsidR="00297FEC" w:rsidRPr="0091415E">
        <w:t>at a minimum: (</w:t>
      </w:r>
      <w:proofErr w:type="spellStart"/>
      <w:r w:rsidR="00297FEC" w:rsidRPr="0091415E">
        <w:t>i</w:t>
      </w:r>
      <w:proofErr w:type="spellEnd"/>
      <w:r w:rsidR="00297FEC" w:rsidRPr="0091415E">
        <w:t>) the name of the applicant; (ii) the nature of the application and proposed discharge</w:t>
      </w:r>
      <w:r w:rsidR="00657FE0">
        <w:t xml:space="preserve"> (a</w:t>
      </w:r>
      <w:r w:rsidR="00657FE0" w:rsidRPr="00657FE0">
        <w:rPr>
          <w:spacing w:val="-3"/>
        </w:rPr>
        <w:t xml:space="preserve"> </w:t>
      </w:r>
      <w:r w:rsidR="00657FE0" w:rsidRPr="00D9523F">
        <w:rPr>
          <w:spacing w:val="-3"/>
        </w:rPr>
        <w:t>description of the proposed activities and impacts</w:t>
      </w:r>
      <w:r w:rsidR="00657FE0">
        <w:rPr>
          <w:spacing w:val="-3"/>
        </w:rPr>
        <w:t>)</w:t>
      </w:r>
      <w:r w:rsidR="00297FEC" w:rsidRPr="0091415E">
        <w:t xml:space="preserve">; </w:t>
      </w:r>
      <w:r w:rsidR="00E354C5">
        <w:t xml:space="preserve">and </w:t>
      </w:r>
      <w:r w:rsidR="00297FEC" w:rsidRPr="0091415E">
        <w:t>(iii) the availability and timing of any comment period</w:t>
      </w:r>
      <w:r w:rsidR="0057126F" w:rsidRPr="0057126F">
        <w:rPr>
          <w:spacing w:val="-3"/>
        </w:rPr>
        <w:t xml:space="preserve"> </w:t>
      </w:r>
      <w:r w:rsidR="0057126F">
        <w:rPr>
          <w:spacing w:val="-3"/>
        </w:rPr>
        <w:t xml:space="preserve">(a </w:t>
      </w:r>
      <w:r w:rsidR="0057126F" w:rsidRPr="00D9523F">
        <w:rPr>
          <w:spacing w:val="-3"/>
        </w:rPr>
        <w:t>brief explanation of the Public Notice process</w:t>
      </w:r>
      <w:r w:rsidR="0057126F">
        <w:rPr>
          <w:spacing w:val="-3"/>
        </w:rPr>
        <w:t>)</w:t>
      </w:r>
      <w:r w:rsidR="00E354C5">
        <w:t>. U</w:t>
      </w:r>
      <w:r w:rsidR="00297FEC" w:rsidRPr="0091415E">
        <w:t xml:space="preserve">pon request, </w:t>
      </w:r>
      <w:r w:rsidR="00E354C5">
        <w:t xml:space="preserve">staff </w:t>
      </w:r>
      <w:r w:rsidR="004D034B">
        <w:t xml:space="preserve">must provide </w:t>
      </w:r>
      <w:r w:rsidR="00297FEC" w:rsidRPr="0091415E">
        <w:t xml:space="preserve">any other information known to, or in the possession of, the Board or the Department regarding the applicant </w:t>
      </w:r>
      <w:r w:rsidR="004D034B">
        <w:t xml:space="preserve">that is </w:t>
      </w:r>
      <w:r w:rsidR="00297FEC" w:rsidRPr="0091415E">
        <w:t xml:space="preserve">not required to be held confidential by </w:t>
      </w:r>
      <w:r w:rsidR="006F1561">
        <w:t>Chapter 3.1 of the Code of Virginia</w:t>
      </w:r>
      <w:r w:rsidR="00297FEC" w:rsidRPr="0091415E">
        <w:t>.</w:t>
      </w:r>
      <w:r w:rsidR="00297FEC">
        <w:rPr>
          <w:rFonts w:ascii="PT Serif" w:hAnsi="PT Serif"/>
          <w:color w:val="444444"/>
          <w:sz w:val="27"/>
          <w:szCs w:val="27"/>
        </w:rPr>
        <w:t> </w:t>
      </w:r>
    </w:p>
    <w:p w14:paraId="2565C444" w14:textId="18727E93" w:rsidR="00AA054B" w:rsidRPr="00D75D5F" w:rsidRDefault="00AA054B" w:rsidP="00AA054B">
      <w:pPr>
        <w:pStyle w:val="Heading2"/>
      </w:pPr>
      <w:bookmarkStart w:id="20" w:name="_Toc536434593"/>
      <w:bookmarkStart w:id="21" w:name="_Toc179189538"/>
      <w:r w:rsidRPr="00D75D5F">
        <w:lastRenderedPageBreak/>
        <w:t xml:space="preserve">5.6 Riparian </w:t>
      </w:r>
      <w:r w:rsidR="00E24FEA" w:rsidRPr="00D75D5F">
        <w:t>Property Owner</w:t>
      </w:r>
      <w:r w:rsidRPr="00D75D5F">
        <w:t xml:space="preserve"> Notification</w:t>
      </w:r>
      <w:bookmarkEnd w:id="20"/>
      <w:bookmarkEnd w:id="21"/>
    </w:p>
    <w:p w14:paraId="4C2718ED" w14:textId="77777777" w:rsidR="00AA054B" w:rsidRPr="00D75D5F" w:rsidRDefault="00AA054B" w:rsidP="00AA054B">
      <w:pPr>
        <w:pStyle w:val="Heading3"/>
      </w:pPr>
      <w:bookmarkStart w:id="22" w:name="_Toc536434594"/>
      <w:bookmarkStart w:id="23" w:name="_Toc179189539"/>
      <w:r w:rsidRPr="00D75D5F">
        <w:t>5.6.1 Notification Requirements</w:t>
      </w:r>
      <w:bookmarkEnd w:id="22"/>
      <w:bookmarkEnd w:id="23"/>
    </w:p>
    <w:p w14:paraId="73A59D3B" w14:textId="1C0B0F7F" w:rsidR="00A83B4C" w:rsidRPr="00D75D5F" w:rsidRDefault="005A6915" w:rsidP="00535EF0">
      <w:pPr>
        <w:jc w:val="both"/>
      </w:pPr>
      <w:r w:rsidRPr="00D75D5F">
        <w:t>P</w:t>
      </w:r>
      <w:r w:rsidR="00535EF0" w:rsidRPr="00D75D5F">
        <w:t xml:space="preserve">er </w:t>
      </w:r>
      <w:hyperlink r:id="rId46" w:history="1">
        <w:r w:rsidR="00A355F8" w:rsidRPr="00D75D5F">
          <w:rPr>
            <w:rStyle w:val="Hyperlink"/>
          </w:rPr>
          <w:t>§ 62.1-44.15:4</w:t>
        </w:r>
      </w:hyperlink>
      <w:r w:rsidR="00875AC4" w:rsidRPr="00D75D5F">
        <w:t xml:space="preserve"> </w:t>
      </w:r>
      <w:r w:rsidR="00535EF0" w:rsidRPr="00D75D5F">
        <w:t xml:space="preserve">of </w:t>
      </w:r>
      <w:r w:rsidR="00535EF0" w:rsidRPr="00D75D5F">
        <w:rPr>
          <w:spacing w:val="-3"/>
        </w:rPr>
        <w:t>the Code of Virginia</w:t>
      </w:r>
      <w:r w:rsidR="00D23CE7" w:rsidRPr="00F865FC">
        <w:rPr>
          <w:spacing w:val="-3"/>
        </w:rPr>
        <w:t xml:space="preserve"> </w:t>
      </w:r>
      <w:r w:rsidR="00D23CE7" w:rsidRPr="00D75D5F">
        <w:t>(Chapter 3.1, Article 2)</w:t>
      </w:r>
      <w:r w:rsidR="00535EF0" w:rsidRPr="00D75D5F">
        <w:t>,</w:t>
      </w:r>
      <w:r w:rsidRPr="00D75D5F">
        <w:t xml:space="preserve"> a good faith effort</w:t>
      </w:r>
      <w:r w:rsidR="00E9147B" w:rsidRPr="00D75D5F">
        <w:t xml:space="preserve"> by the State Water Control Board</w:t>
      </w:r>
      <w:r w:rsidRPr="00D75D5F">
        <w:t xml:space="preserve"> to notify</w:t>
      </w:r>
      <w:r w:rsidR="00535EF0" w:rsidRPr="00D75D5F">
        <w:t xml:space="preserve"> </w:t>
      </w:r>
      <w:r w:rsidR="00535EF0" w:rsidRPr="003B02E6">
        <w:rPr>
          <w:i/>
          <w:iCs/>
          <w:u w:val="single"/>
        </w:rPr>
        <w:t>riparian</w:t>
      </w:r>
      <w:r w:rsidR="00535EF0" w:rsidRPr="00D75D5F">
        <w:t xml:space="preserve"> </w:t>
      </w:r>
      <w:r w:rsidR="00E24FEA" w:rsidRPr="00D75D5F">
        <w:t>property owners</w:t>
      </w:r>
      <w:r w:rsidR="00CA272A" w:rsidRPr="00D75D5F">
        <w:t xml:space="preserve"> is required</w:t>
      </w:r>
      <w:r w:rsidR="00535EF0" w:rsidRPr="00D75D5F">
        <w:t xml:space="preserve">. </w:t>
      </w:r>
      <w:r w:rsidR="00A006C7" w:rsidRPr="00D75D5F">
        <w:t>For</w:t>
      </w:r>
      <w:r w:rsidR="00535EF0" w:rsidRPr="00D75D5F">
        <w:t xml:space="preserve"> very wide surface waters, </w:t>
      </w:r>
      <w:r w:rsidR="00652267" w:rsidRPr="00F865FC">
        <w:t xml:space="preserve">note that </w:t>
      </w:r>
      <w:r w:rsidR="00535EF0" w:rsidRPr="00D75D5F">
        <w:t xml:space="preserve">if two miles or more separate the proposed point of impact from the </w:t>
      </w:r>
      <w:r w:rsidR="00535EF0" w:rsidRPr="00D75D5F">
        <w:rPr>
          <w:i/>
        </w:rPr>
        <w:t>nontidal or tidal</w:t>
      </w:r>
      <w:r w:rsidR="00535EF0" w:rsidRPr="00D75D5F">
        <w:t xml:space="preserve"> riparian property, there is no requirement to notify the riparian owners located on the shore opposite of the impact location.  </w:t>
      </w:r>
      <w:r w:rsidR="00B975E1" w:rsidRPr="00D75D5F">
        <w:t xml:space="preserve">These distances also apply to any permittee-responsible mitigation site </w:t>
      </w:r>
      <w:r w:rsidR="00B975E1" w:rsidRPr="00D75D5F">
        <w:rPr>
          <w:i/>
        </w:rPr>
        <w:t>that incurs impacts covered by the pending individual permit</w:t>
      </w:r>
      <w:r w:rsidR="00B975E1" w:rsidRPr="00D75D5F">
        <w:t>.</w:t>
      </w:r>
      <w:r w:rsidR="002F4392" w:rsidRPr="00F865FC">
        <w:t xml:space="preserve"> </w:t>
      </w:r>
      <w:r w:rsidR="00A83B4C" w:rsidRPr="00D75D5F">
        <w:t xml:space="preserve">The U.S. Army Corps of Engineers (USACE) and Virginia Marine Resources Commission (VMRC) have their own </w:t>
      </w:r>
      <w:r w:rsidR="004A51C4" w:rsidRPr="00D75D5F">
        <w:t xml:space="preserve">requirements and </w:t>
      </w:r>
      <w:r w:rsidR="00A83B4C" w:rsidRPr="00D75D5F">
        <w:t xml:space="preserve">protocols for notifying </w:t>
      </w:r>
      <w:r w:rsidR="00E24FEA" w:rsidRPr="00D75D5F">
        <w:t>property owner</w:t>
      </w:r>
      <w:r w:rsidR="00A83B4C" w:rsidRPr="00D75D5F">
        <w:t>s</w:t>
      </w:r>
      <w:r w:rsidR="004A51C4" w:rsidRPr="00D75D5F">
        <w:t xml:space="preserve"> that may differ from </w:t>
      </w:r>
      <w:r w:rsidR="00B936CF" w:rsidRPr="00D75D5F">
        <w:t>DEQ</w:t>
      </w:r>
      <w:r w:rsidR="00224289" w:rsidRPr="00D75D5F">
        <w:t>’s</w:t>
      </w:r>
      <w:r w:rsidR="00A83B4C" w:rsidRPr="00D75D5F">
        <w:t>.</w:t>
      </w:r>
    </w:p>
    <w:p w14:paraId="6CD386E2" w14:textId="74D131D9" w:rsidR="00224289" w:rsidRPr="008B0D6D" w:rsidRDefault="00AB6A81" w:rsidP="00535EF0">
      <w:pPr>
        <w:jc w:val="both"/>
        <w:rPr>
          <w:rStyle w:val="Hyperlink"/>
          <w:color w:val="auto"/>
          <w:u w:val="none"/>
        </w:rPr>
      </w:pPr>
      <w:r w:rsidRPr="008B0D6D">
        <w:rPr>
          <w:rStyle w:val="Hyperlink"/>
          <w:color w:val="auto"/>
          <w:u w:val="none"/>
        </w:rPr>
        <w:t xml:space="preserve">While no definitions exist </w:t>
      </w:r>
      <w:r w:rsidR="00130F82" w:rsidRPr="008B0D6D">
        <w:rPr>
          <w:rStyle w:val="Hyperlink"/>
          <w:color w:val="auto"/>
          <w:u w:val="none"/>
        </w:rPr>
        <w:t xml:space="preserve">in Chapter 3.1 </w:t>
      </w:r>
      <w:r w:rsidR="006E4021" w:rsidRPr="008B0D6D">
        <w:rPr>
          <w:rStyle w:val="Hyperlink"/>
          <w:color w:val="auto"/>
          <w:u w:val="none"/>
        </w:rPr>
        <w:t>of T</w:t>
      </w:r>
      <w:r w:rsidR="00894AA2" w:rsidRPr="008B0D6D">
        <w:rPr>
          <w:rStyle w:val="Hyperlink"/>
          <w:color w:val="auto"/>
          <w:u w:val="none"/>
        </w:rPr>
        <w:t>itle 62.1 of the Code of Virginia (</w:t>
      </w:r>
      <w:r w:rsidR="00130F82" w:rsidRPr="008B0D6D">
        <w:rPr>
          <w:rStyle w:val="Hyperlink"/>
          <w:color w:val="auto"/>
          <w:u w:val="none"/>
        </w:rPr>
        <w:t>State Water Control Law</w:t>
      </w:r>
      <w:r w:rsidR="00894AA2" w:rsidRPr="008B0D6D">
        <w:rPr>
          <w:rStyle w:val="Hyperlink"/>
          <w:color w:val="auto"/>
          <w:u w:val="none"/>
        </w:rPr>
        <w:t>)</w:t>
      </w:r>
      <w:r w:rsidR="00130F82" w:rsidRPr="008B0D6D">
        <w:rPr>
          <w:rStyle w:val="Hyperlink"/>
          <w:color w:val="auto"/>
          <w:u w:val="none"/>
        </w:rPr>
        <w:t xml:space="preserve"> for riparian </w:t>
      </w:r>
      <w:r w:rsidR="009D7C42" w:rsidRPr="008B0D6D">
        <w:rPr>
          <w:rStyle w:val="Hyperlink"/>
          <w:color w:val="auto"/>
          <w:u w:val="none"/>
        </w:rPr>
        <w:t xml:space="preserve">property owner or </w:t>
      </w:r>
      <w:r w:rsidR="00130F82" w:rsidRPr="008B0D6D">
        <w:rPr>
          <w:rStyle w:val="Hyperlink"/>
          <w:color w:val="auto"/>
          <w:u w:val="none"/>
        </w:rPr>
        <w:t xml:space="preserve">adjacent property owner, </w:t>
      </w:r>
      <w:r w:rsidR="00802732" w:rsidRPr="008B0D6D">
        <w:rPr>
          <w:rStyle w:val="Hyperlink"/>
          <w:color w:val="auto"/>
          <w:u w:val="none"/>
        </w:rPr>
        <w:t xml:space="preserve">DEQ </w:t>
      </w:r>
      <w:r w:rsidR="008B0D6D" w:rsidRPr="008B0D6D">
        <w:rPr>
          <w:rStyle w:val="Hyperlink"/>
          <w:color w:val="auto"/>
          <w:u w:val="none"/>
        </w:rPr>
        <w:t>guidance</w:t>
      </w:r>
      <w:r w:rsidR="008B0D6D">
        <w:rPr>
          <w:rStyle w:val="FootnoteReference"/>
        </w:rPr>
        <w:footnoteReference w:id="6"/>
      </w:r>
      <w:r w:rsidR="008B0D6D" w:rsidRPr="008B0D6D">
        <w:rPr>
          <w:rStyle w:val="Hyperlink"/>
          <w:color w:val="auto"/>
          <w:u w:val="none"/>
        </w:rPr>
        <w:t xml:space="preserve"> </w:t>
      </w:r>
      <w:r w:rsidR="00160C54" w:rsidRPr="008B0D6D">
        <w:rPr>
          <w:rStyle w:val="Hyperlink"/>
          <w:color w:val="auto"/>
          <w:u w:val="none"/>
        </w:rPr>
        <w:t>define</w:t>
      </w:r>
      <w:r w:rsidR="000A7F04">
        <w:rPr>
          <w:rStyle w:val="Hyperlink"/>
          <w:color w:val="auto"/>
          <w:u w:val="none"/>
        </w:rPr>
        <w:t>s</w:t>
      </w:r>
      <w:r w:rsidR="00160C54" w:rsidRPr="008B0D6D">
        <w:rPr>
          <w:rStyle w:val="Hyperlink"/>
          <w:color w:val="auto"/>
          <w:u w:val="none"/>
        </w:rPr>
        <w:t xml:space="preserve"> </w:t>
      </w:r>
      <w:r w:rsidR="00D4016B" w:rsidRPr="008B0D6D">
        <w:rPr>
          <w:rStyle w:val="Hyperlink"/>
          <w:color w:val="auto"/>
          <w:u w:val="none"/>
        </w:rPr>
        <w:t xml:space="preserve">these terms </w:t>
      </w:r>
      <w:r w:rsidR="00160C54" w:rsidRPr="008B0D6D">
        <w:rPr>
          <w:rStyle w:val="Hyperlink"/>
          <w:color w:val="auto"/>
          <w:u w:val="none"/>
        </w:rPr>
        <w:t>as follows:</w:t>
      </w:r>
    </w:p>
    <w:p w14:paraId="22378F21" w14:textId="33E3A3F8" w:rsidR="00F94D87" w:rsidRPr="00E661C2" w:rsidRDefault="00F94D87" w:rsidP="00E661C2">
      <w:pPr>
        <w:ind w:left="720"/>
        <w:jc w:val="both"/>
        <w:rPr>
          <w:lang w:val="x-none"/>
        </w:rPr>
      </w:pPr>
      <w:r w:rsidRPr="00E661C2">
        <w:rPr>
          <w:lang w:val="x-none"/>
        </w:rPr>
        <w:t>“Riparian property owner”: For the purposes of this guidance, a riparian property owner is an owner of land which borders on a body of water or watercourse (i.e.</w:t>
      </w:r>
      <w:r w:rsidR="00CD7F7D" w:rsidRPr="00E661C2">
        <w:rPr>
          <w:lang w:val="x-none"/>
        </w:rPr>
        <w:t>,</w:t>
      </w:r>
      <w:r w:rsidRPr="00E661C2">
        <w:rPr>
          <w:lang w:val="x-none"/>
        </w:rPr>
        <w:t xml:space="preserve"> a body of water flowing in a reasonably definite channel with bed and banks in which water naturally flows).</w:t>
      </w:r>
    </w:p>
    <w:p w14:paraId="487AAD38" w14:textId="274EAA90" w:rsidR="00F94D87" w:rsidRPr="00E661C2" w:rsidRDefault="00F94D87" w:rsidP="00E661C2">
      <w:pPr>
        <w:ind w:left="720"/>
        <w:jc w:val="both"/>
        <w:rPr>
          <w:lang w:val="x-none"/>
        </w:rPr>
      </w:pPr>
      <w:r w:rsidRPr="00E661C2">
        <w:rPr>
          <w:lang w:val="x-none"/>
        </w:rPr>
        <w:t>“Adjacent property owner”: For the purpose of this guidance, an adjacent property owner is an owner of property that is bordering, contiguous to, or neighboring the property that is subject of the permit application (e.g.</w:t>
      </w:r>
      <w:r w:rsidR="00201FD3" w:rsidRPr="00E661C2">
        <w:rPr>
          <w:lang w:val="x-none"/>
        </w:rPr>
        <w:t>,</w:t>
      </w:r>
      <w:r w:rsidRPr="00E661C2">
        <w:rPr>
          <w:lang w:val="x-none"/>
        </w:rPr>
        <w:t xml:space="preserve"> shares one or more common property lines with the subject property).</w:t>
      </w:r>
    </w:p>
    <w:p w14:paraId="440C2FB8" w14:textId="1B4B71C3" w:rsidR="00D4016B" w:rsidRPr="00E661C2" w:rsidRDefault="00AC74D7" w:rsidP="00535EF0">
      <w:pPr>
        <w:jc w:val="both"/>
        <w:rPr>
          <w:rStyle w:val="Hyperlink"/>
          <w:color w:val="auto"/>
          <w:u w:val="none"/>
        </w:rPr>
      </w:pPr>
      <w:r w:rsidRPr="00E661C2">
        <w:rPr>
          <w:rStyle w:val="Hyperlink"/>
          <w:color w:val="auto"/>
          <w:u w:val="none"/>
        </w:rPr>
        <w:t xml:space="preserve">Additionally, Chapter 8 </w:t>
      </w:r>
      <w:r w:rsidR="0093179B" w:rsidRPr="00E661C2">
        <w:rPr>
          <w:rStyle w:val="Hyperlink"/>
          <w:color w:val="auto"/>
          <w:u w:val="none"/>
        </w:rPr>
        <w:t xml:space="preserve">(Impoundment of Surface Waters) </w:t>
      </w:r>
      <w:r w:rsidRPr="00E661C2">
        <w:rPr>
          <w:rStyle w:val="Hyperlink"/>
          <w:color w:val="auto"/>
          <w:u w:val="none"/>
        </w:rPr>
        <w:t>o</w:t>
      </w:r>
      <w:r w:rsidR="00201FD3" w:rsidRPr="00E661C2">
        <w:rPr>
          <w:rStyle w:val="Hyperlink"/>
          <w:color w:val="auto"/>
          <w:u w:val="none"/>
        </w:rPr>
        <w:t>f</w:t>
      </w:r>
      <w:r w:rsidRPr="00E661C2">
        <w:rPr>
          <w:rStyle w:val="Hyperlink"/>
          <w:color w:val="auto"/>
          <w:u w:val="none"/>
        </w:rPr>
        <w:t xml:space="preserve"> </w:t>
      </w:r>
      <w:r w:rsidR="001E558A" w:rsidRPr="00E661C2">
        <w:rPr>
          <w:rStyle w:val="Hyperlink"/>
          <w:color w:val="auto"/>
          <w:u w:val="none"/>
        </w:rPr>
        <w:t xml:space="preserve">Title 62.1 of the Code of Virginia </w:t>
      </w:r>
      <w:r w:rsidR="00A33AE1" w:rsidRPr="00E661C2">
        <w:rPr>
          <w:rStyle w:val="Hyperlink"/>
          <w:color w:val="auto"/>
          <w:u w:val="none"/>
        </w:rPr>
        <w:t xml:space="preserve">(§ 62.1-104) </w:t>
      </w:r>
      <w:r w:rsidR="001E558A" w:rsidRPr="00E661C2">
        <w:rPr>
          <w:rStyle w:val="Hyperlink"/>
          <w:color w:val="auto"/>
          <w:u w:val="none"/>
        </w:rPr>
        <w:t>defines the following terms:</w:t>
      </w:r>
    </w:p>
    <w:p w14:paraId="148C10B2" w14:textId="55EABBF6" w:rsidR="00A33AE1" w:rsidRPr="00E661C2" w:rsidRDefault="00A33AE1" w:rsidP="00A33AE1">
      <w:pPr>
        <w:ind w:left="720"/>
        <w:jc w:val="both"/>
      </w:pPr>
      <w:r w:rsidRPr="00E661C2">
        <w:t>"Riparian land" is land which is contiguous to and touches a watercourse. It does not include land outside the watershed of the watercourse. Real property under common ownership and which is not separated from riparian land by land of any other ownership shall likewise be deemed riparian land, notwithstanding that such real property is divided into tracts and parcels which may not bound upon the watercourse.</w:t>
      </w:r>
    </w:p>
    <w:p w14:paraId="5C692AE5" w14:textId="0828D36E" w:rsidR="00A33AE1" w:rsidRPr="00E661C2" w:rsidRDefault="00A33AE1" w:rsidP="00A33AE1">
      <w:pPr>
        <w:ind w:left="720"/>
        <w:jc w:val="both"/>
      </w:pPr>
      <w:r w:rsidRPr="00E661C2">
        <w:t>"Riparian owner" is an owner of riparian land.</w:t>
      </w:r>
    </w:p>
    <w:p w14:paraId="14B9C687" w14:textId="06FA9AE6" w:rsidR="00535EF0" w:rsidRPr="00D75D5F" w:rsidRDefault="00E058F5" w:rsidP="00535EF0">
      <w:pPr>
        <w:jc w:val="both"/>
      </w:pPr>
      <w:r w:rsidRPr="00D75D5F">
        <w:t xml:space="preserve">Notification of </w:t>
      </w:r>
      <w:r w:rsidRPr="00D75D5F">
        <w:rPr>
          <w:i/>
          <w:iCs/>
        </w:rPr>
        <w:t>adjacent</w:t>
      </w:r>
      <w:r w:rsidRPr="00D75D5F">
        <w:t xml:space="preserve"> property owners that are not also </w:t>
      </w:r>
      <w:r w:rsidRPr="00D75D5F">
        <w:rPr>
          <w:i/>
          <w:iCs/>
        </w:rPr>
        <w:t>riparian</w:t>
      </w:r>
      <w:r w:rsidRPr="00D75D5F">
        <w:t xml:space="preserve"> property owners is not required in accordance with </w:t>
      </w:r>
      <w:hyperlink r:id="rId47" w:history="1">
        <w:r w:rsidRPr="00D75D5F">
          <w:rPr>
            <w:rStyle w:val="Hyperlink"/>
          </w:rPr>
          <w:t>§ 62.1-44.15:4</w:t>
        </w:r>
      </w:hyperlink>
      <w:r w:rsidRPr="00D75D5F">
        <w:rPr>
          <w:rStyle w:val="Hyperlink"/>
          <w:u w:val="none"/>
        </w:rPr>
        <w:t>.</w:t>
      </w:r>
      <w:r w:rsidR="00B00C3F" w:rsidRPr="00D75D5F">
        <w:rPr>
          <w:rStyle w:val="Hyperlink"/>
          <w:u w:val="none"/>
        </w:rPr>
        <w:t xml:space="preserve"> </w:t>
      </w:r>
      <w:r w:rsidR="00B338F3" w:rsidRPr="00D75D5F">
        <w:t xml:space="preserve">While the </w:t>
      </w:r>
      <w:r w:rsidR="009E1963" w:rsidRPr="00D75D5F">
        <w:t xml:space="preserve">program’s obligation in Code focuses on notifying </w:t>
      </w:r>
      <w:r w:rsidR="006F26A1" w:rsidRPr="00D75D5F">
        <w:t xml:space="preserve">certain </w:t>
      </w:r>
      <w:r w:rsidR="009E1963" w:rsidRPr="00D75D5F">
        <w:t xml:space="preserve">riparian </w:t>
      </w:r>
      <w:r w:rsidR="00A45663" w:rsidRPr="00D75D5F">
        <w:t>property owner</w:t>
      </w:r>
      <w:r w:rsidR="009E1963" w:rsidRPr="00D75D5F">
        <w:t xml:space="preserve">s, </w:t>
      </w:r>
      <w:r w:rsidR="00B00C29" w:rsidRPr="00D75D5F">
        <w:t>notif</w:t>
      </w:r>
      <w:r w:rsidR="00135DB9" w:rsidRPr="00D75D5F">
        <w:t xml:space="preserve">ying </w:t>
      </w:r>
      <w:r w:rsidR="00B00C29" w:rsidRPr="00D75D5F">
        <w:t xml:space="preserve">other </w:t>
      </w:r>
      <w:r w:rsidR="00A45663" w:rsidRPr="00D75D5F">
        <w:t>property owner</w:t>
      </w:r>
      <w:r w:rsidR="00B00C29" w:rsidRPr="00D75D5F">
        <w:t xml:space="preserve">s </w:t>
      </w:r>
      <w:r w:rsidR="00291DE8" w:rsidRPr="00D75D5F">
        <w:t>may be</w:t>
      </w:r>
      <w:r w:rsidR="00B00C29" w:rsidRPr="00D75D5F">
        <w:t xml:space="preserve"> appropriate</w:t>
      </w:r>
      <w:r w:rsidR="00535EF0" w:rsidRPr="00D75D5F">
        <w:t xml:space="preserve">. Examples and </w:t>
      </w:r>
      <w:r w:rsidR="0056189E" w:rsidRPr="00D75D5F">
        <w:t>suggested</w:t>
      </w:r>
      <w:r w:rsidR="00535EF0" w:rsidRPr="00D75D5F">
        <w:t xml:space="preserve"> actions are </w:t>
      </w:r>
      <w:r w:rsidR="00C34C4B" w:rsidRPr="00D75D5F">
        <w:t xml:space="preserve">below. </w:t>
      </w:r>
      <w:r w:rsidR="00483D9E" w:rsidRPr="00D75D5F">
        <w:t>When in doubt, c</w:t>
      </w:r>
      <w:r w:rsidR="00C34C4B" w:rsidRPr="00D75D5F">
        <w:t>onsult the regional program manager.</w:t>
      </w:r>
    </w:p>
    <w:p w14:paraId="4B44F800" w14:textId="247DEC4A" w:rsidR="0004758A" w:rsidRPr="00D75D5F" w:rsidRDefault="0004758A">
      <w:pPr>
        <w:pStyle w:val="ListParagraph"/>
        <w:numPr>
          <w:ilvl w:val="0"/>
          <w:numId w:val="12"/>
        </w:numPr>
        <w:jc w:val="both"/>
        <w:rPr>
          <w:sz w:val="22"/>
          <w:szCs w:val="22"/>
        </w:rPr>
      </w:pPr>
      <w:r w:rsidRPr="00D75D5F">
        <w:rPr>
          <w:sz w:val="22"/>
          <w:szCs w:val="22"/>
        </w:rPr>
        <w:t xml:space="preserve">Impacts </w:t>
      </w:r>
      <w:r w:rsidR="002C0D2F" w:rsidRPr="00D75D5F">
        <w:rPr>
          <w:sz w:val="22"/>
          <w:szCs w:val="22"/>
        </w:rPr>
        <w:t xml:space="preserve">appear to </w:t>
      </w:r>
      <w:r w:rsidRPr="00D75D5F">
        <w:rPr>
          <w:sz w:val="22"/>
          <w:szCs w:val="22"/>
        </w:rPr>
        <w:t>affect the use of a non-riparian</w:t>
      </w:r>
      <w:r w:rsidR="002C0D2F" w:rsidRPr="00D75D5F">
        <w:rPr>
          <w:sz w:val="22"/>
          <w:szCs w:val="22"/>
        </w:rPr>
        <w:t>, adjacent</w:t>
      </w:r>
      <w:r w:rsidRPr="00D75D5F">
        <w:rPr>
          <w:sz w:val="22"/>
          <w:szCs w:val="22"/>
        </w:rPr>
        <w:t xml:space="preserve"> property</w:t>
      </w:r>
      <w:r w:rsidR="002C0D2F" w:rsidRPr="00D75D5F">
        <w:rPr>
          <w:sz w:val="22"/>
          <w:szCs w:val="22"/>
        </w:rPr>
        <w:t>, such as when a non-tidal upstream owner is in close proximity to a proposed activity</w:t>
      </w:r>
      <w:r w:rsidRPr="00D75D5F">
        <w:rPr>
          <w:sz w:val="22"/>
          <w:szCs w:val="22"/>
        </w:rPr>
        <w:t>.</w:t>
      </w:r>
    </w:p>
    <w:p w14:paraId="5BCE225F" w14:textId="1E953B48" w:rsidR="00362858" w:rsidRPr="00A744E7" w:rsidRDefault="001D6656" w:rsidP="00666494">
      <w:pPr>
        <w:pStyle w:val="ListParagraph"/>
        <w:numPr>
          <w:ilvl w:val="1"/>
          <w:numId w:val="12"/>
        </w:numPr>
        <w:ind w:left="1080"/>
        <w:jc w:val="both"/>
        <w:rPr>
          <w:sz w:val="22"/>
          <w:szCs w:val="22"/>
        </w:rPr>
      </w:pPr>
      <w:r w:rsidRPr="00D75D5F">
        <w:rPr>
          <w:sz w:val="22"/>
          <w:szCs w:val="22"/>
        </w:rPr>
        <w:t xml:space="preserve">Notify adjacent, non-riparian property owners when </w:t>
      </w:r>
      <w:r w:rsidRPr="00D75D5F">
        <w:rPr>
          <w:sz w:val="22"/>
          <w:szCs w:val="22"/>
          <w:lang w:val="x-none"/>
        </w:rPr>
        <w:t>staff determines the project impacts</w:t>
      </w:r>
      <w:r w:rsidR="00B75AB5" w:rsidRPr="00D75D5F">
        <w:rPr>
          <w:sz w:val="22"/>
          <w:szCs w:val="22"/>
          <w:lang w:val="x-none"/>
        </w:rPr>
        <w:t xml:space="preserve"> from activities </w:t>
      </w:r>
      <w:r w:rsidR="00F54F35" w:rsidRPr="00D75D5F">
        <w:rPr>
          <w:sz w:val="22"/>
          <w:szCs w:val="22"/>
          <w:lang w:val="x-none"/>
        </w:rPr>
        <w:t xml:space="preserve">described </w:t>
      </w:r>
      <w:r w:rsidRPr="00D75D5F">
        <w:rPr>
          <w:sz w:val="22"/>
          <w:szCs w:val="22"/>
          <w:lang w:val="x-none"/>
        </w:rPr>
        <w:t xml:space="preserve">in § 62.1-44.15:20 A.1 through 3 </w:t>
      </w:r>
      <w:r w:rsidR="002C0D2F" w:rsidRPr="00D75D5F">
        <w:rPr>
          <w:sz w:val="22"/>
          <w:szCs w:val="22"/>
          <w:lang w:val="x-none"/>
        </w:rPr>
        <w:t xml:space="preserve">may </w:t>
      </w:r>
      <w:r w:rsidRPr="00D75D5F">
        <w:rPr>
          <w:sz w:val="22"/>
          <w:szCs w:val="22"/>
          <w:lang w:val="x-none"/>
        </w:rPr>
        <w:t>affect use of the adjacent, non-riparian property.</w:t>
      </w:r>
      <w:r w:rsidR="00B00C3F" w:rsidRPr="00D75D5F">
        <w:rPr>
          <w:rStyle w:val="CommentReference"/>
          <w:rFonts w:eastAsiaTheme="minorHAnsi"/>
          <w:lang w:bidi="ar-SA"/>
        </w:rPr>
        <w:t xml:space="preserve"> </w:t>
      </w:r>
    </w:p>
    <w:p w14:paraId="3601F7F2" w14:textId="5DF96F42" w:rsidR="00535EF0" w:rsidRPr="00D75D5F" w:rsidRDefault="00535EF0" w:rsidP="00535EF0">
      <w:pPr>
        <w:pStyle w:val="ListParagraph"/>
        <w:numPr>
          <w:ilvl w:val="0"/>
          <w:numId w:val="12"/>
        </w:numPr>
        <w:jc w:val="both"/>
        <w:rPr>
          <w:sz w:val="22"/>
          <w:szCs w:val="22"/>
        </w:rPr>
      </w:pPr>
      <w:r w:rsidRPr="00D75D5F">
        <w:rPr>
          <w:sz w:val="22"/>
          <w:szCs w:val="22"/>
        </w:rPr>
        <w:lastRenderedPageBreak/>
        <w:t xml:space="preserve">Impacts to a </w:t>
      </w:r>
      <w:r w:rsidR="00C03139" w:rsidRPr="00D75D5F">
        <w:rPr>
          <w:sz w:val="22"/>
          <w:szCs w:val="22"/>
        </w:rPr>
        <w:t xml:space="preserve">non-tidal </w:t>
      </w:r>
      <w:r w:rsidRPr="00D75D5F">
        <w:rPr>
          <w:sz w:val="22"/>
          <w:szCs w:val="22"/>
        </w:rPr>
        <w:t xml:space="preserve">stream channel that is piped for some portion of the </w:t>
      </w:r>
      <w:r w:rsidR="005B5156">
        <w:rPr>
          <w:sz w:val="22"/>
          <w:szCs w:val="22"/>
        </w:rPr>
        <w:t xml:space="preserve">one-half </w:t>
      </w:r>
      <w:r w:rsidRPr="00D75D5F">
        <w:rPr>
          <w:sz w:val="22"/>
          <w:szCs w:val="22"/>
        </w:rPr>
        <w:t>mile downstream</w:t>
      </w:r>
    </w:p>
    <w:p w14:paraId="0491BCA9" w14:textId="7EAFF1C0" w:rsidR="00535EF0" w:rsidRPr="00D75D5F" w:rsidRDefault="00535EF0" w:rsidP="00415A0D">
      <w:pPr>
        <w:pStyle w:val="ListParagraph"/>
        <w:numPr>
          <w:ilvl w:val="1"/>
          <w:numId w:val="12"/>
        </w:numPr>
        <w:ind w:left="1080"/>
        <w:jc w:val="both"/>
        <w:rPr>
          <w:sz w:val="22"/>
          <w:szCs w:val="22"/>
        </w:rPr>
      </w:pPr>
      <w:r w:rsidRPr="00D75D5F">
        <w:rPr>
          <w:sz w:val="22"/>
          <w:szCs w:val="22"/>
        </w:rPr>
        <w:t xml:space="preserve">Make a good faith effort to notify the riparian </w:t>
      </w:r>
      <w:r w:rsidR="00A45663" w:rsidRPr="00D75D5F">
        <w:rPr>
          <w:sz w:val="22"/>
          <w:szCs w:val="22"/>
        </w:rPr>
        <w:t>property owners</w:t>
      </w:r>
      <w:r w:rsidR="00640923" w:rsidRPr="00D75D5F">
        <w:rPr>
          <w:sz w:val="22"/>
          <w:szCs w:val="22"/>
        </w:rPr>
        <w:t>,</w:t>
      </w:r>
      <w:r w:rsidRPr="00D75D5F">
        <w:rPr>
          <w:sz w:val="22"/>
          <w:szCs w:val="22"/>
        </w:rPr>
        <w:t xml:space="preserve"> as best they can be identified</w:t>
      </w:r>
      <w:r w:rsidR="00640923" w:rsidRPr="00D75D5F">
        <w:rPr>
          <w:sz w:val="22"/>
          <w:szCs w:val="22"/>
        </w:rPr>
        <w:t xml:space="preserve">, for the </w:t>
      </w:r>
      <w:r w:rsidR="003B0F5E">
        <w:rPr>
          <w:sz w:val="22"/>
          <w:szCs w:val="22"/>
        </w:rPr>
        <w:t xml:space="preserve">one-half </w:t>
      </w:r>
      <w:r w:rsidR="00640923" w:rsidRPr="00D75D5F">
        <w:rPr>
          <w:sz w:val="22"/>
          <w:szCs w:val="22"/>
        </w:rPr>
        <w:t>mile downstream</w:t>
      </w:r>
      <w:r w:rsidRPr="00D75D5F">
        <w:rPr>
          <w:sz w:val="22"/>
          <w:szCs w:val="22"/>
        </w:rPr>
        <w:t>.</w:t>
      </w:r>
    </w:p>
    <w:p w14:paraId="65FF4648" w14:textId="070353D2" w:rsidR="00535EF0" w:rsidRPr="00D75D5F" w:rsidRDefault="00535EF0" w:rsidP="00535EF0">
      <w:pPr>
        <w:pStyle w:val="ListParagraph"/>
        <w:numPr>
          <w:ilvl w:val="0"/>
          <w:numId w:val="12"/>
        </w:numPr>
        <w:jc w:val="both"/>
        <w:rPr>
          <w:sz w:val="22"/>
          <w:szCs w:val="22"/>
        </w:rPr>
      </w:pPr>
      <w:r w:rsidRPr="00D75D5F">
        <w:rPr>
          <w:sz w:val="22"/>
          <w:szCs w:val="22"/>
        </w:rPr>
        <w:t xml:space="preserve">Impacts to a </w:t>
      </w:r>
      <w:r w:rsidR="00B9002F" w:rsidRPr="00D75D5F">
        <w:rPr>
          <w:sz w:val="22"/>
          <w:szCs w:val="22"/>
        </w:rPr>
        <w:t xml:space="preserve">non-tidal </w:t>
      </w:r>
      <w:r w:rsidRPr="00D75D5F">
        <w:rPr>
          <w:sz w:val="22"/>
          <w:szCs w:val="22"/>
        </w:rPr>
        <w:t xml:space="preserve">wetland adjacent and contiguous to </w:t>
      </w:r>
      <w:r w:rsidR="00B9002F" w:rsidRPr="00D75D5F">
        <w:rPr>
          <w:sz w:val="22"/>
          <w:szCs w:val="22"/>
        </w:rPr>
        <w:t xml:space="preserve">a non-tidal </w:t>
      </w:r>
      <w:r w:rsidRPr="00D75D5F">
        <w:rPr>
          <w:sz w:val="22"/>
          <w:szCs w:val="22"/>
        </w:rPr>
        <w:t xml:space="preserve">stream channel but the permitted impact area is not the stream channel. </w:t>
      </w:r>
    </w:p>
    <w:p w14:paraId="0D381C6A" w14:textId="6C6BA5B3" w:rsidR="00535EF0" w:rsidRPr="00D75D5F" w:rsidRDefault="00535EF0" w:rsidP="00415A0D">
      <w:pPr>
        <w:pStyle w:val="ListParagraph"/>
        <w:numPr>
          <w:ilvl w:val="1"/>
          <w:numId w:val="12"/>
        </w:numPr>
        <w:ind w:left="1080"/>
        <w:jc w:val="both"/>
        <w:rPr>
          <w:sz w:val="22"/>
          <w:szCs w:val="22"/>
        </w:rPr>
      </w:pPr>
      <w:r w:rsidRPr="00D75D5F">
        <w:rPr>
          <w:sz w:val="22"/>
          <w:szCs w:val="22"/>
        </w:rPr>
        <w:t xml:space="preserve">Notify </w:t>
      </w:r>
      <w:r w:rsidR="00EA40F1" w:rsidRPr="00D75D5F">
        <w:rPr>
          <w:sz w:val="22"/>
          <w:szCs w:val="22"/>
        </w:rPr>
        <w:t xml:space="preserve">riparian </w:t>
      </w:r>
      <w:r w:rsidR="00A45663" w:rsidRPr="00D75D5F">
        <w:rPr>
          <w:sz w:val="22"/>
          <w:szCs w:val="22"/>
        </w:rPr>
        <w:t>property owners</w:t>
      </w:r>
      <w:r w:rsidR="00EA40F1" w:rsidRPr="00D75D5F">
        <w:rPr>
          <w:sz w:val="22"/>
          <w:szCs w:val="22"/>
        </w:rPr>
        <w:t xml:space="preserve"> adjacent to the </w:t>
      </w:r>
      <w:r w:rsidR="00B934BF" w:rsidRPr="00D75D5F">
        <w:rPr>
          <w:sz w:val="22"/>
          <w:szCs w:val="22"/>
        </w:rPr>
        <w:t xml:space="preserve">impacted </w:t>
      </w:r>
      <w:r w:rsidR="00EA40F1" w:rsidRPr="00D75D5F">
        <w:rPr>
          <w:sz w:val="22"/>
          <w:szCs w:val="22"/>
        </w:rPr>
        <w:t>wetland</w:t>
      </w:r>
      <w:r w:rsidR="001E0367" w:rsidRPr="00D75D5F">
        <w:rPr>
          <w:sz w:val="22"/>
          <w:szCs w:val="22"/>
        </w:rPr>
        <w:t xml:space="preserve"> </w:t>
      </w:r>
      <w:r w:rsidR="00640923" w:rsidRPr="00D75D5F">
        <w:rPr>
          <w:sz w:val="22"/>
          <w:szCs w:val="22"/>
        </w:rPr>
        <w:t xml:space="preserve">as identified in the application </w:t>
      </w:r>
      <w:r w:rsidR="001E0367" w:rsidRPr="00D75D5F">
        <w:rPr>
          <w:sz w:val="22"/>
          <w:szCs w:val="22"/>
        </w:rPr>
        <w:t>and those</w:t>
      </w:r>
      <w:r w:rsidRPr="00D75D5F">
        <w:rPr>
          <w:sz w:val="22"/>
          <w:szCs w:val="22"/>
        </w:rPr>
        <w:t xml:space="preserve"> for </w:t>
      </w:r>
      <w:r w:rsidR="003B0F5E">
        <w:rPr>
          <w:sz w:val="22"/>
          <w:szCs w:val="22"/>
        </w:rPr>
        <w:t>one-half</w:t>
      </w:r>
      <w:r w:rsidR="006C1D11">
        <w:rPr>
          <w:sz w:val="22"/>
          <w:szCs w:val="22"/>
        </w:rPr>
        <w:t xml:space="preserve"> </w:t>
      </w:r>
      <w:r w:rsidRPr="00D75D5F">
        <w:rPr>
          <w:sz w:val="22"/>
          <w:szCs w:val="22"/>
        </w:rPr>
        <w:t xml:space="preserve">mile </w:t>
      </w:r>
      <w:r w:rsidR="001E0367" w:rsidRPr="00D75D5F">
        <w:rPr>
          <w:sz w:val="22"/>
          <w:szCs w:val="22"/>
        </w:rPr>
        <w:t>downstream along the channel</w:t>
      </w:r>
      <w:r w:rsidRPr="00D75D5F">
        <w:rPr>
          <w:sz w:val="22"/>
          <w:szCs w:val="22"/>
        </w:rPr>
        <w:t>.</w:t>
      </w:r>
    </w:p>
    <w:p w14:paraId="3CA6C355" w14:textId="05EBF7BC" w:rsidR="00535EF0" w:rsidRPr="00D75D5F" w:rsidRDefault="00535EF0" w:rsidP="00535EF0">
      <w:pPr>
        <w:pStyle w:val="ListParagraph"/>
        <w:numPr>
          <w:ilvl w:val="0"/>
          <w:numId w:val="12"/>
        </w:numPr>
        <w:jc w:val="both"/>
        <w:rPr>
          <w:sz w:val="22"/>
          <w:szCs w:val="22"/>
        </w:rPr>
      </w:pPr>
      <w:r w:rsidRPr="00D75D5F">
        <w:rPr>
          <w:sz w:val="22"/>
          <w:szCs w:val="22"/>
        </w:rPr>
        <w:t xml:space="preserve">Impacts to a </w:t>
      </w:r>
      <w:r w:rsidR="00B9002F" w:rsidRPr="00D75D5F">
        <w:rPr>
          <w:sz w:val="22"/>
          <w:szCs w:val="22"/>
        </w:rPr>
        <w:t xml:space="preserve">non-tidal </w:t>
      </w:r>
      <w:r w:rsidRPr="00D75D5F">
        <w:rPr>
          <w:sz w:val="22"/>
          <w:szCs w:val="22"/>
        </w:rPr>
        <w:t xml:space="preserve">wetland system </w:t>
      </w:r>
      <w:r w:rsidR="00464760" w:rsidRPr="00D75D5F">
        <w:rPr>
          <w:sz w:val="22"/>
          <w:szCs w:val="22"/>
        </w:rPr>
        <w:t xml:space="preserve">with no defined </w:t>
      </w:r>
      <w:r w:rsidR="0004132D" w:rsidRPr="00D75D5F">
        <w:rPr>
          <w:sz w:val="22"/>
          <w:szCs w:val="22"/>
        </w:rPr>
        <w:t xml:space="preserve">on-site </w:t>
      </w:r>
      <w:r w:rsidR="00464760" w:rsidRPr="00D75D5F">
        <w:rPr>
          <w:sz w:val="22"/>
          <w:szCs w:val="22"/>
        </w:rPr>
        <w:t xml:space="preserve">channel </w:t>
      </w:r>
      <w:r w:rsidRPr="00D75D5F">
        <w:rPr>
          <w:sz w:val="22"/>
          <w:szCs w:val="22"/>
        </w:rPr>
        <w:t>that continues off-site</w:t>
      </w:r>
      <w:r w:rsidR="00D07803" w:rsidRPr="00D75D5F">
        <w:rPr>
          <w:sz w:val="22"/>
          <w:szCs w:val="22"/>
        </w:rPr>
        <w:t xml:space="preserve"> beyond the project boundary</w:t>
      </w:r>
      <w:r w:rsidRPr="00D75D5F">
        <w:rPr>
          <w:sz w:val="22"/>
          <w:szCs w:val="22"/>
        </w:rPr>
        <w:t>.</w:t>
      </w:r>
    </w:p>
    <w:p w14:paraId="64A06FE4" w14:textId="7724D860" w:rsidR="00535EF0" w:rsidRPr="00D75D5F" w:rsidRDefault="00535EF0" w:rsidP="00415A0D">
      <w:pPr>
        <w:pStyle w:val="ListParagraph"/>
        <w:numPr>
          <w:ilvl w:val="1"/>
          <w:numId w:val="12"/>
        </w:numPr>
        <w:ind w:left="1080"/>
        <w:jc w:val="both"/>
        <w:rPr>
          <w:sz w:val="22"/>
          <w:szCs w:val="22"/>
        </w:rPr>
      </w:pPr>
      <w:r w:rsidRPr="00D75D5F">
        <w:rPr>
          <w:sz w:val="22"/>
          <w:szCs w:val="22"/>
        </w:rPr>
        <w:t>Notify</w:t>
      </w:r>
      <w:r w:rsidR="00F93938">
        <w:rPr>
          <w:sz w:val="22"/>
          <w:szCs w:val="22"/>
        </w:rPr>
        <w:t xml:space="preserve"> </w:t>
      </w:r>
      <w:r w:rsidR="009B38CF" w:rsidRPr="00D75D5F">
        <w:rPr>
          <w:sz w:val="22"/>
          <w:szCs w:val="22"/>
        </w:rPr>
        <w:t xml:space="preserve">riparian property owners along the on-site portion of the impacted wetland as identified in the application. Also notify riparian property owners </w:t>
      </w:r>
      <w:r w:rsidR="00981E62" w:rsidRPr="00D75D5F">
        <w:rPr>
          <w:sz w:val="22"/>
          <w:szCs w:val="22"/>
        </w:rPr>
        <w:t xml:space="preserve">adjacent </w:t>
      </w:r>
      <w:r w:rsidR="00D06857" w:rsidRPr="00D75D5F">
        <w:rPr>
          <w:sz w:val="22"/>
          <w:szCs w:val="22"/>
        </w:rPr>
        <w:t xml:space="preserve">to the </w:t>
      </w:r>
      <w:r w:rsidR="00F377F9" w:rsidRPr="00F93938">
        <w:rPr>
          <w:i/>
          <w:iCs/>
          <w:sz w:val="22"/>
          <w:szCs w:val="22"/>
        </w:rPr>
        <w:t>off-site</w:t>
      </w:r>
      <w:r w:rsidR="00F377F9" w:rsidRPr="00D75D5F">
        <w:rPr>
          <w:sz w:val="22"/>
          <w:szCs w:val="22"/>
        </w:rPr>
        <w:t xml:space="preserve"> </w:t>
      </w:r>
      <w:r w:rsidR="00991667" w:rsidRPr="00D75D5F">
        <w:rPr>
          <w:sz w:val="22"/>
          <w:szCs w:val="22"/>
        </w:rPr>
        <w:t xml:space="preserve">portion of the </w:t>
      </w:r>
      <w:r w:rsidR="00F377F9" w:rsidRPr="00D75D5F">
        <w:rPr>
          <w:sz w:val="22"/>
          <w:szCs w:val="22"/>
        </w:rPr>
        <w:t>wetland</w:t>
      </w:r>
      <w:r w:rsidR="00981E62" w:rsidRPr="00D75D5F">
        <w:rPr>
          <w:sz w:val="22"/>
          <w:szCs w:val="22"/>
        </w:rPr>
        <w:t xml:space="preserve"> for a distance of </w:t>
      </w:r>
      <w:r w:rsidR="00F93938">
        <w:rPr>
          <w:sz w:val="22"/>
          <w:szCs w:val="22"/>
        </w:rPr>
        <w:t xml:space="preserve">one-half </w:t>
      </w:r>
      <w:r w:rsidR="00F377F9" w:rsidRPr="00D75D5F">
        <w:rPr>
          <w:sz w:val="22"/>
          <w:szCs w:val="22"/>
        </w:rPr>
        <w:t xml:space="preserve">mile </w:t>
      </w:r>
      <w:r w:rsidR="00640923" w:rsidRPr="00D75D5F">
        <w:rPr>
          <w:sz w:val="22"/>
          <w:szCs w:val="22"/>
        </w:rPr>
        <w:t xml:space="preserve">‘downstream’ </w:t>
      </w:r>
      <w:r w:rsidR="00F377F9" w:rsidRPr="00D75D5F">
        <w:rPr>
          <w:sz w:val="22"/>
          <w:szCs w:val="22"/>
        </w:rPr>
        <w:t xml:space="preserve">from </w:t>
      </w:r>
      <w:r w:rsidR="00470573" w:rsidRPr="00D75D5F">
        <w:rPr>
          <w:sz w:val="22"/>
          <w:szCs w:val="22"/>
        </w:rPr>
        <w:t xml:space="preserve">the </w:t>
      </w:r>
      <w:r w:rsidR="00603A35" w:rsidRPr="00D75D5F">
        <w:rPr>
          <w:sz w:val="22"/>
          <w:szCs w:val="22"/>
        </w:rPr>
        <w:t>impact site</w:t>
      </w:r>
      <w:r w:rsidR="00640923" w:rsidRPr="00D75D5F">
        <w:rPr>
          <w:sz w:val="22"/>
          <w:szCs w:val="22"/>
        </w:rPr>
        <w:t>. When more than one impact site exists, use the one</w:t>
      </w:r>
      <w:r w:rsidR="00A078C4" w:rsidRPr="00D75D5F">
        <w:rPr>
          <w:sz w:val="22"/>
          <w:szCs w:val="22"/>
        </w:rPr>
        <w:t xml:space="preserve"> closest to the project boundary</w:t>
      </w:r>
      <w:r w:rsidR="00640923" w:rsidRPr="00D75D5F">
        <w:rPr>
          <w:sz w:val="22"/>
          <w:szCs w:val="22"/>
        </w:rPr>
        <w:t xml:space="preserve"> that also</w:t>
      </w:r>
      <w:r w:rsidR="00A26FF2" w:rsidRPr="00D75D5F">
        <w:rPr>
          <w:sz w:val="22"/>
          <w:szCs w:val="22"/>
        </w:rPr>
        <w:t xml:space="preserve"> </w:t>
      </w:r>
      <w:r w:rsidR="00A6200C" w:rsidRPr="00D75D5F">
        <w:rPr>
          <w:sz w:val="22"/>
          <w:szCs w:val="22"/>
        </w:rPr>
        <w:t>overlies</w:t>
      </w:r>
      <w:r w:rsidR="00A26FF2" w:rsidRPr="00D75D5F">
        <w:rPr>
          <w:sz w:val="22"/>
          <w:szCs w:val="22"/>
        </w:rPr>
        <w:t xml:space="preserve"> the wetland system</w:t>
      </w:r>
      <w:r w:rsidR="00640923" w:rsidRPr="00D75D5F">
        <w:rPr>
          <w:sz w:val="22"/>
          <w:szCs w:val="22"/>
        </w:rPr>
        <w:t>. U</w:t>
      </w:r>
      <w:r w:rsidR="00E63049" w:rsidRPr="00D75D5F">
        <w:rPr>
          <w:sz w:val="22"/>
          <w:szCs w:val="22"/>
        </w:rPr>
        <w:t>s</w:t>
      </w:r>
      <w:r w:rsidR="00640923" w:rsidRPr="00D75D5F">
        <w:rPr>
          <w:sz w:val="22"/>
          <w:szCs w:val="22"/>
        </w:rPr>
        <w:t>e</w:t>
      </w:r>
      <w:r w:rsidR="00E63049" w:rsidRPr="00D75D5F">
        <w:rPr>
          <w:sz w:val="22"/>
          <w:szCs w:val="22"/>
        </w:rPr>
        <w:t xml:space="preserve"> best professional judgement </w:t>
      </w:r>
      <w:r w:rsidR="00654755" w:rsidRPr="00D75D5F">
        <w:rPr>
          <w:sz w:val="22"/>
          <w:szCs w:val="22"/>
        </w:rPr>
        <w:t>on where the</w:t>
      </w:r>
      <w:r w:rsidR="00300BB2" w:rsidRPr="00D75D5F">
        <w:rPr>
          <w:sz w:val="22"/>
          <w:szCs w:val="22"/>
        </w:rPr>
        <w:t xml:space="preserve"> off-site</w:t>
      </w:r>
      <w:r w:rsidR="00654755" w:rsidRPr="00D75D5F">
        <w:rPr>
          <w:sz w:val="22"/>
          <w:szCs w:val="22"/>
        </w:rPr>
        <w:t xml:space="preserve"> wetland boundary lies</w:t>
      </w:r>
      <w:r w:rsidR="00640923" w:rsidRPr="00D75D5F">
        <w:rPr>
          <w:sz w:val="22"/>
          <w:szCs w:val="22"/>
        </w:rPr>
        <w:t xml:space="preserve"> in cases where </w:t>
      </w:r>
      <w:r w:rsidR="00A6200C" w:rsidRPr="00D75D5F">
        <w:rPr>
          <w:sz w:val="22"/>
          <w:szCs w:val="22"/>
        </w:rPr>
        <w:t>it is</w:t>
      </w:r>
      <w:r w:rsidR="00640923" w:rsidRPr="00D75D5F">
        <w:rPr>
          <w:sz w:val="22"/>
          <w:szCs w:val="22"/>
        </w:rPr>
        <w:t xml:space="preserve"> not identified in the application</w:t>
      </w:r>
      <w:r w:rsidRPr="00D75D5F">
        <w:rPr>
          <w:sz w:val="22"/>
          <w:szCs w:val="22"/>
        </w:rPr>
        <w:t>.</w:t>
      </w:r>
    </w:p>
    <w:p w14:paraId="79F159C3" w14:textId="6D6C9787" w:rsidR="00535EF0" w:rsidRPr="00D75D5F" w:rsidRDefault="00535EF0" w:rsidP="00535EF0">
      <w:pPr>
        <w:pStyle w:val="ListParagraph"/>
        <w:numPr>
          <w:ilvl w:val="0"/>
          <w:numId w:val="12"/>
        </w:numPr>
        <w:jc w:val="both"/>
        <w:rPr>
          <w:sz w:val="22"/>
          <w:szCs w:val="22"/>
        </w:rPr>
      </w:pPr>
      <w:r w:rsidRPr="00D75D5F">
        <w:rPr>
          <w:sz w:val="22"/>
          <w:szCs w:val="22"/>
        </w:rPr>
        <w:t>Impacts to an isolated wetland.</w:t>
      </w:r>
    </w:p>
    <w:p w14:paraId="3B0D892C" w14:textId="11B2C0CA" w:rsidR="00535EF0" w:rsidRPr="00D75D5F" w:rsidRDefault="00535EF0" w:rsidP="00415A0D">
      <w:pPr>
        <w:pStyle w:val="ListParagraph"/>
        <w:numPr>
          <w:ilvl w:val="1"/>
          <w:numId w:val="12"/>
        </w:numPr>
        <w:ind w:left="1080"/>
        <w:jc w:val="both"/>
        <w:rPr>
          <w:sz w:val="22"/>
          <w:szCs w:val="22"/>
        </w:rPr>
      </w:pPr>
      <w:r w:rsidRPr="00D75D5F">
        <w:rPr>
          <w:sz w:val="22"/>
          <w:szCs w:val="22"/>
        </w:rPr>
        <w:t xml:space="preserve">Riparian owner notifications are not required </w:t>
      </w:r>
      <w:r w:rsidR="00455CD4" w:rsidRPr="00D75D5F">
        <w:rPr>
          <w:sz w:val="22"/>
          <w:szCs w:val="22"/>
        </w:rPr>
        <w:t xml:space="preserve">for </w:t>
      </w:r>
      <w:r w:rsidR="00640923" w:rsidRPr="00D75D5F">
        <w:rPr>
          <w:sz w:val="22"/>
          <w:szCs w:val="22"/>
        </w:rPr>
        <w:t>discharge</w:t>
      </w:r>
      <w:r w:rsidR="00455CD4" w:rsidRPr="00D75D5F">
        <w:rPr>
          <w:sz w:val="22"/>
          <w:szCs w:val="22"/>
        </w:rPr>
        <w:t xml:space="preserve"> to isolated wetlands where there is no receiving stream</w:t>
      </w:r>
      <w:r w:rsidRPr="00D75D5F">
        <w:rPr>
          <w:sz w:val="22"/>
          <w:szCs w:val="22"/>
        </w:rPr>
        <w:t>.</w:t>
      </w:r>
    </w:p>
    <w:p w14:paraId="66B10F5B" w14:textId="56C4A200" w:rsidR="00535EF0" w:rsidRPr="009A7A18" w:rsidRDefault="00535EF0" w:rsidP="009A7A18">
      <w:pPr>
        <w:pStyle w:val="ListParagraph"/>
        <w:numPr>
          <w:ilvl w:val="0"/>
          <w:numId w:val="12"/>
        </w:numPr>
        <w:jc w:val="both"/>
        <w:rPr>
          <w:sz w:val="22"/>
          <w:szCs w:val="22"/>
        </w:rPr>
      </w:pPr>
      <w:r w:rsidRPr="00D75D5F">
        <w:rPr>
          <w:sz w:val="22"/>
          <w:szCs w:val="22"/>
        </w:rPr>
        <w:t xml:space="preserve">When the </w:t>
      </w:r>
      <w:r w:rsidR="00316683" w:rsidRPr="00D75D5F">
        <w:rPr>
          <w:sz w:val="22"/>
          <w:szCs w:val="22"/>
        </w:rPr>
        <w:t xml:space="preserve">notification </w:t>
      </w:r>
      <w:r w:rsidRPr="00D75D5F">
        <w:rPr>
          <w:sz w:val="22"/>
          <w:szCs w:val="22"/>
        </w:rPr>
        <w:t xml:space="preserve">distances cross </w:t>
      </w:r>
      <w:r w:rsidR="00316683" w:rsidRPr="00D75D5F">
        <w:rPr>
          <w:sz w:val="22"/>
          <w:szCs w:val="22"/>
        </w:rPr>
        <w:t xml:space="preserve">over a </w:t>
      </w:r>
      <w:r w:rsidRPr="00D75D5F">
        <w:rPr>
          <w:sz w:val="22"/>
          <w:szCs w:val="22"/>
        </w:rPr>
        <w:t xml:space="preserve">county, city, or state </w:t>
      </w:r>
      <w:r w:rsidR="004B53D7" w:rsidRPr="00D75D5F">
        <w:rPr>
          <w:sz w:val="22"/>
          <w:szCs w:val="22"/>
        </w:rPr>
        <w:t>boundary,</w:t>
      </w:r>
      <w:r w:rsidRPr="00D75D5F">
        <w:rPr>
          <w:sz w:val="22"/>
          <w:szCs w:val="22"/>
        </w:rPr>
        <w:t xml:space="preserve"> </w:t>
      </w:r>
      <w:r w:rsidR="004B53D7" w:rsidRPr="00D75D5F">
        <w:rPr>
          <w:sz w:val="22"/>
          <w:szCs w:val="22"/>
        </w:rPr>
        <w:t xml:space="preserve">make a good faith effort to notify </w:t>
      </w:r>
      <w:r w:rsidR="004B53D7" w:rsidRPr="00D75D5F">
        <w:rPr>
          <w:i/>
          <w:iCs/>
          <w:sz w:val="22"/>
          <w:szCs w:val="22"/>
          <w:u w:val="single"/>
        </w:rPr>
        <w:t>riparian</w:t>
      </w:r>
      <w:r w:rsidR="004B53D7" w:rsidRPr="00D75D5F">
        <w:rPr>
          <w:sz w:val="22"/>
          <w:szCs w:val="22"/>
        </w:rPr>
        <w:t xml:space="preserve"> property owners</w:t>
      </w:r>
      <w:r w:rsidR="00B00C3F" w:rsidRPr="00D75D5F">
        <w:rPr>
          <w:sz w:val="22"/>
          <w:szCs w:val="22"/>
        </w:rPr>
        <w:t xml:space="preserve"> along the required distance(s)</w:t>
      </w:r>
      <w:r w:rsidR="004B53D7" w:rsidRPr="00D75D5F">
        <w:rPr>
          <w:sz w:val="22"/>
          <w:szCs w:val="22"/>
        </w:rPr>
        <w:t>.</w:t>
      </w:r>
    </w:p>
    <w:p w14:paraId="3F13D6AC" w14:textId="7B81DB7F" w:rsidR="00B975E1" w:rsidRPr="00D75D5F" w:rsidRDefault="00B975E1" w:rsidP="00FF799C">
      <w:pPr>
        <w:pStyle w:val="ListParagraph"/>
        <w:numPr>
          <w:ilvl w:val="0"/>
          <w:numId w:val="12"/>
        </w:numPr>
        <w:jc w:val="both"/>
        <w:rPr>
          <w:sz w:val="22"/>
          <w:szCs w:val="22"/>
        </w:rPr>
      </w:pPr>
      <w:r w:rsidRPr="00D75D5F">
        <w:rPr>
          <w:sz w:val="22"/>
          <w:szCs w:val="22"/>
        </w:rPr>
        <w:t xml:space="preserve">Permittee-responsible mitigation site that </w:t>
      </w:r>
      <w:r w:rsidR="00A65117" w:rsidRPr="00D75D5F">
        <w:rPr>
          <w:i/>
          <w:sz w:val="22"/>
          <w:szCs w:val="22"/>
        </w:rPr>
        <w:t>does not</w:t>
      </w:r>
      <w:r w:rsidR="00A65117" w:rsidRPr="00D75D5F">
        <w:rPr>
          <w:sz w:val="22"/>
          <w:szCs w:val="22"/>
        </w:rPr>
        <w:t xml:space="preserve"> </w:t>
      </w:r>
      <w:r w:rsidRPr="00D75D5F">
        <w:rPr>
          <w:sz w:val="22"/>
          <w:szCs w:val="22"/>
        </w:rPr>
        <w:t>incur impacts covered by the pending individual permit</w:t>
      </w:r>
      <w:r w:rsidR="00A65117" w:rsidRPr="00D75D5F">
        <w:rPr>
          <w:sz w:val="22"/>
          <w:szCs w:val="22"/>
        </w:rPr>
        <w:t>.</w:t>
      </w:r>
    </w:p>
    <w:p w14:paraId="3FCE947E" w14:textId="187868D3" w:rsidR="00A65117" w:rsidRPr="0011793E" w:rsidRDefault="00A65117" w:rsidP="00A65117">
      <w:pPr>
        <w:pStyle w:val="ListParagraph"/>
        <w:numPr>
          <w:ilvl w:val="1"/>
          <w:numId w:val="12"/>
        </w:numPr>
        <w:ind w:left="1080"/>
        <w:jc w:val="both"/>
        <w:rPr>
          <w:sz w:val="22"/>
          <w:szCs w:val="22"/>
        </w:rPr>
      </w:pPr>
      <w:r w:rsidRPr="0011793E">
        <w:rPr>
          <w:sz w:val="22"/>
          <w:szCs w:val="22"/>
        </w:rPr>
        <w:t>Riparian owner notifications are not required for the PRM site.</w:t>
      </w:r>
    </w:p>
    <w:p w14:paraId="22FDE104" w14:textId="6403D5CF" w:rsidR="00684FEC" w:rsidRPr="0011793E" w:rsidRDefault="00215DBD" w:rsidP="0091415E">
      <w:pPr>
        <w:jc w:val="both"/>
        <w:rPr>
          <w:rStyle w:val="Hyperlink"/>
          <w:color w:val="auto"/>
          <w:u w:val="none"/>
        </w:rPr>
      </w:pPr>
      <w:r w:rsidRPr="0011793E">
        <w:rPr>
          <w:rStyle w:val="Hyperlink"/>
          <w:color w:val="auto"/>
          <w:u w:val="none"/>
        </w:rPr>
        <w:t>The</w:t>
      </w:r>
      <w:r w:rsidR="00684FEC" w:rsidRPr="0011793E">
        <w:rPr>
          <w:rStyle w:val="Hyperlink"/>
          <w:color w:val="auto"/>
          <w:u w:val="none"/>
        </w:rPr>
        <w:t xml:space="preserve"> </w:t>
      </w:r>
      <w:r w:rsidR="00FD1EE2" w:rsidRPr="0011793E">
        <w:rPr>
          <w:rStyle w:val="Hyperlink"/>
          <w:color w:val="auto"/>
          <w:u w:val="none"/>
        </w:rPr>
        <w:t xml:space="preserve">example </w:t>
      </w:r>
      <w:r w:rsidR="00684FEC" w:rsidRPr="0011793E">
        <w:rPr>
          <w:rStyle w:val="Hyperlink"/>
          <w:color w:val="auto"/>
          <w:u w:val="none"/>
        </w:rPr>
        <w:t xml:space="preserve">graphic </w:t>
      </w:r>
      <w:r w:rsidRPr="0011793E">
        <w:rPr>
          <w:rStyle w:val="Hyperlink"/>
          <w:color w:val="auto"/>
          <w:u w:val="none"/>
        </w:rPr>
        <w:t xml:space="preserve">below is provided as a simplified view </w:t>
      </w:r>
      <w:r w:rsidR="00684FEC" w:rsidRPr="0011793E">
        <w:rPr>
          <w:rStyle w:val="Hyperlink"/>
          <w:color w:val="auto"/>
          <w:u w:val="none"/>
        </w:rPr>
        <w:t xml:space="preserve">of </w:t>
      </w:r>
      <w:r w:rsidR="00CB2405" w:rsidRPr="0011793E">
        <w:rPr>
          <w:rStyle w:val="Hyperlink"/>
          <w:color w:val="auto"/>
          <w:u w:val="none"/>
        </w:rPr>
        <w:t xml:space="preserve">owners along a non-tidal water </w:t>
      </w:r>
      <w:r w:rsidR="00DC7D4A" w:rsidRPr="0011793E">
        <w:rPr>
          <w:rStyle w:val="Hyperlink"/>
          <w:color w:val="auto"/>
          <w:u w:val="none"/>
        </w:rPr>
        <w:t xml:space="preserve">where </w:t>
      </w:r>
      <w:r w:rsidR="00DA0183" w:rsidRPr="0011793E">
        <w:rPr>
          <w:rStyle w:val="Hyperlink"/>
          <w:color w:val="auto"/>
          <w:u w:val="none"/>
        </w:rPr>
        <w:t>a bridge replacement project</w:t>
      </w:r>
      <w:r w:rsidR="00DC7D4A" w:rsidRPr="0011793E">
        <w:rPr>
          <w:rStyle w:val="Hyperlink"/>
          <w:color w:val="auto"/>
          <w:u w:val="none"/>
        </w:rPr>
        <w:t xml:space="preserve"> is being proposed</w:t>
      </w:r>
      <w:r w:rsidR="00DA0183" w:rsidRPr="0011793E">
        <w:rPr>
          <w:rStyle w:val="Hyperlink"/>
          <w:color w:val="auto"/>
          <w:u w:val="none"/>
        </w:rPr>
        <w:t xml:space="preserve">. Notifications would be sent to property owners </w:t>
      </w:r>
      <w:r w:rsidR="009F40C7" w:rsidRPr="0011793E">
        <w:rPr>
          <w:rStyle w:val="Hyperlink"/>
          <w:color w:val="auto"/>
          <w:u w:val="none"/>
        </w:rPr>
        <w:t>noted with black circles</w:t>
      </w:r>
      <w:r w:rsidRPr="0011793E">
        <w:rPr>
          <w:rStyle w:val="Hyperlink"/>
          <w:color w:val="auto"/>
          <w:u w:val="none"/>
        </w:rPr>
        <w:t xml:space="preserve">. </w:t>
      </w:r>
      <w:r w:rsidR="009F40C7" w:rsidRPr="0011793E">
        <w:rPr>
          <w:rStyle w:val="Hyperlink"/>
          <w:color w:val="auto"/>
          <w:u w:val="none"/>
        </w:rPr>
        <w:t>Notification to the</w:t>
      </w:r>
      <w:r w:rsidR="00AC0C74" w:rsidRPr="0011793E">
        <w:rPr>
          <w:rStyle w:val="Hyperlink"/>
          <w:color w:val="auto"/>
          <w:u w:val="none"/>
        </w:rPr>
        <w:t xml:space="preserve"> property owner</w:t>
      </w:r>
      <w:r w:rsidR="001D6AAE" w:rsidRPr="0011793E">
        <w:rPr>
          <w:rStyle w:val="Hyperlink"/>
          <w:color w:val="auto"/>
          <w:u w:val="none"/>
        </w:rPr>
        <w:t xml:space="preserve">s noted with orange circles </w:t>
      </w:r>
      <w:r w:rsidR="009F40C7" w:rsidRPr="0011793E">
        <w:rPr>
          <w:rStyle w:val="Hyperlink"/>
          <w:color w:val="auto"/>
          <w:u w:val="none"/>
        </w:rPr>
        <w:t>would be discretionary</w:t>
      </w:r>
      <w:r w:rsidR="00BE5973" w:rsidRPr="0011793E">
        <w:rPr>
          <w:rStyle w:val="Hyperlink"/>
          <w:color w:val="auto"/>
          <w:u w:val="none"/>
        </w:rPr>
        <w:t>.</w:t>
      </w:r>
    </w:p>
    <w:p w14:paraId="358A2B34" w14:textId="50BF5FC9" w:rsidR="001D195F" w:rsidRPr="0011793E" w:rsidRDefault="00A7797F" w:rsidP="0091415E">
      <w:pPr>
        <w:jc w:val="both"/>
        <w:rPr>
          <w:rStyle w:val="Hyperlink"/>
          <w:color w:val="auto"/>
          <w:u w:val="none"/>
        </w:rPr>
      </w:pPr>
      <w:r w:rsidRPr="0011793E">
        <w:rPr>
          <w:rStyle w:val="Hyperlink"/>
          <w:color w:val="auto"/>
          <w:u w:val="none"/>
        </w:rPr>
        <w:t xml:space="preserve">Figure </w:t>
      </w:r>
      <w:r w:rsidR="00703450" w:rsidRPr="0011793E">
        <w:rPr>
          <w:rStyle w:val="Hyperlink"/>
          <w:color w:val="auto"/>
          <w:u w:val="none"/>
        </w:rPr>
        <w:t>5.1</w:t>
      </w:r>
      <w:r w:rsidR="00B00C3F" w:rsidRPr="0011793E">
        <w:rPr>
          <w:rStyle w:val="Hyperlink"/>
          <w:color w:val="auto"/>
          <w:u w:val="none"/>
        </w:rPr>
        <w:t xml:space="preserve"> Example notification graphic</w:t>
      </w:r>
      <w:r w:rsidR="00981119" w:rsidRPr="0011793E">
        <w:rPr>
          <w:rStyle w:val="FootnoteReference"/>
        </w:rPr>
        <w:footnoteReference w:id="7"/>
      </w:r>
    </w:p>
    <w:p w14:paraId="7B1EED8D" w14:textId="37902894" w:rsidR="00A7797F" w:rsidRDefault="005B28C5" w:rsidP="0091415E">
      <w:pPr>
        <w:jc w:val="both"/>
      </w:pPr>
      <w:r w:rsidRPr="00D75D5F">
        <w:rPr>
          <w:noProof/>
        </w:rPr>
        <w:lastRenderedPageBreak/>
        <w:drawing>
          <wp:inline distT="0" distB="0" distL="0" distR="0" wp14:anchorId="104420DC" wp14:editId="5DE71893">
            <wp:extent cx="5943600" cy="3467100"/>
            <wp:effectExtent l="0" t="0" r="0" b="0"/>
            <wp:docPr id="283687773" name="Picture 2" descr="Figure 5.1 Example graphic of riparian property owner 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87773" name="Picture 2" descr="Figure 5.1 Example graphic of riparian property owner notification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39BCFD10" w14:textId="77777777" w:rsidR="0011793E" w:rsidRPr="00D75D5F" w:rsidRDefault="0011793E" w:rsidP="0091415E">
      <w:pPr>
        <w:jc w:val="both"/>
      </w:pPr>
    </w:p>
    <w:p w14:paraId="7EFD3B01" w14:textId="77777777" w:rsidR="00AA054B" w:rsidRPr="00D75D5F" w:rsidRDefault="00AA054B" w:rsidP="00AA054B">
      <w:pPr>
        <w:pStyle w:val="Heading3"/>
      </w:pPr>
      <w:bookmarkStart w:id="24" w:name="_Toc536434595"/>
      <w:bookmarkStart w:id="25" w:name="_Toc179189540"/>
      <w:r w:rsidRPr="00D75D5F">
        <w:t>5.6.2 Notification Procedures</w:t>
      </w:r>
      <w:bookmarkEnd w:id="24"/>
      <w:bookmarkEnd w:id="25"/>
    </w:p>
    <w:p w14:paraId="53CD932B" w14:textId="3D56BD57" w:rsidR="00535EF0" w:rsidRPr="00D75D5F" w:rsidRDefault="00535EF0" w:rsidP="00535EF0">
      <w:pPr>
        <w:jc w:val="both"/>
      </w:pPr>
      <w:r w:rsidRPr="00D75D5F">
        <w:t xml:space="preserve">Notification to riparian </w:t>
      </w:r>
      <w:r w:rsidR="00FD4040">
        <w:t xml:space="preserve">property </w:t>
      </w:r>
      <w:r w:rsidRPr="00D75D5F">
        <w:t xml:space="preserve">owners should occur either concurrently with the application review process or as soon as the application is complete. Riparian </w:t>
      </w:r>
      <w:r w:rsidR="009B45DE" w:rsidRPr="00D75D5F">
        <w:t xml:space="preserve">property owner </w:t>
      </w:r>
      <w:r w:rsidRPr="00D75D5F">
        <w:t xml:space="preserve">information is typically obtained from the county or city Commissioner of Revenue or tax assessor.  </w:t>
      </w:r>
    </w:p>
    <w:p w14:paraId="1093B190" w14:textId="67B0D996" w:rsidR="00535EF0" w:rsidRPr="00D75D5F" w:rsidRDefault="00535EF0" w:rsidP="00535EF0">
      <w:pPr>
        <w:jc w:val="both"/>
      </w:pPr>
      <w:r w:rsidRPr="00D75D5F">
        <w:t xml:space="preserve">Some cities and counties have migrated tax parcel and owner information to web-based GIS tool.  For those </w:t>
      </w:r>
      <w:r w:rsidRPr="00D75D5F">
        <w:rPr>
          <w:spacing w:val="-3"/>
        </w:rPr>
        <w:t>cities or counties that do not have such tools,</w:t>
      </w:r>
      <w:r w:rsidRPr="00D75D5F">
        <w:t xml:space="preserve"> </w:t>
      </w:r>
      <w:r w:rsidR="009F3FCE" w:rsidRPr="00D75D5F">
        <w:t>staff</w:t>
      </w:r>
      <w:r w:rsidRPr="00D75D5F">
        <w:t xml:space="preserve"> will have to request the names and addresses of riparian</w:t>
      </w:r>
      <w:r w:rsidR="009B45DE" w:rsidRPr="00D75D5F">
        <w:t xml:space="preserve"> property owner</w:t>
      </w:r>
      <w:r w:rsidRPr="00D75D5F">
        <w:t xml:space="preserve">. Contact information for the commissioners of revenue or tax assessors can be obtained from county/city government web sites, or </w:t>
      </w:r>
      <w:r w:rsidR="00FD6E70" w:rsidRPr="00D75D5F">
        <w:t xml:space="preserve">on </w:t>
      </w:r>
      <w:hyperlink r:id="rId49" w:history="1">
        <w:r w:rsidR="00FD6E70" w:rsidRPr="00D75D5F">
          <w:rPr>
            <w:rStyle w:val="Hyperlink"/>
          </w:rPr>
          <w:t>https://www.vacomrev.com/</w:t>
        </w:r>
      </w:hyperlink>
      <w:r w:rsidRPr="00D75D5F">
        <w:t xml:space="preserve">.  </w:t>
      </w:r>
    </w:p>
    <w:p w14:paraId="0D0FAC18" w14:textId="7DF302C0" w:rsidR="00535EF0" w:rsidRPr="00D75D5F" w:rsidRDefault="00535EF0" w:rsidP="00535EF0">
      <w:pPr>
        <w:jc w:val="both"/>
      </w:pPr>
      <w:r w:rsidRPr="00D75D5F">
        <w:t xml:space="preserve">The request letter should include </w:t>
      </w:r>
      <w:r w:rsidRPr="00D75D5F">
        <w:rPr>
          <w:spacing w:val="-3"/>
        </w:rPr>
        <w:t>a map highlighting the pertinent land holdings</w:t>
      </w:r>
      <w:r w:rsidR="00A65117" w:rsidRPr="00D75D5F">
        <w:rPr>
          <w:spacing w:val="-3"/>
        </w:rPr>
        <w:t>, including those for any applicable permittee-responsible mitigation areas,</w:t>
      </w:r>
      <w:r w:rsidRPr="00D75D5F">
        <w:rPr>
          <w:spacing w:val="-3"/>
        </w:rPr>
        <w:t xml:space="preserve"> based on the criteria outlined in the Notification Requirements section above.  Provide the best possible map available, such as county road map.  Oftentimes, county tax maps do not include rivers and streams as landmarks.  A </w:t>
      </w:r>
      <w:r w:rsidR="003C5472" w:rsidRPr="00D75D5F">
        <w:rPr>
          <w:spacing w:val="-3"/>
        </w:rPr>
        <w:t>United State Geologic</w:t>
      </w:r>
      <w:r w:rsidR="00782C9B" w:rsidRPr="00D75D5F">
        <w:rPr>
          <w:spacing w:val="-3"/>
        </w:rPr>
        <w:t>al</w:t>
      </w:r>
      <w:r w:rsidR="003C5472" w:rsidRPr="00D75D5F">
        <w:rPr>
          <w:spacing w:val="-3"/>
        </w:rPr>
        <w:t xml:space="preserve"> S</w:t>
      </w:r>
      <w:r w:rsidR="00782C9B" w:rsidRPr="00D75D5F">
        <w:rPr>
          <w:spacing w:val="-3"/>
        </w:rPr>
        <w:t>urvey</w:t>
      </w:r>
      <w:r w:rsidR="003C5472" w:rsidRPr="00D75D5F">
        <w:rPr>
          <w:spacing w:val="-3"/>
        </w:rPr>
        <w:t xml:space="preserve"> (</w:t>
      </w:r>
      <w:r w:rsidRPr="00D75D5F">
        <w:rPr>
          <w:spacing w:val="-3"/>
        </w:rPr>
        <w:t>USGS</w:t>
      </w:r>
      <w:r w:rsidR="003C5472" w:rsidRPr="00D75D5F">
        <w:rPr>
          <w:spacing w:val="-3"/>
        </w:rPr>
        <w:t>)</w:t>
      </w:r>
      <w:r w:rsidRPr="00D75D5F">
        <w:rPr>
          <w:spacing w:val="-3"/>
        </w:rPr>
        <w:t xml:space="preserve"> topographic map may also be included as an additional resource for the county staff.  A sample Request for </w:t>
      </w:r>
      <w:r w:rsidR="00B21D3E" w:rsidRPr="00D75D5F">
        <w:rPr>
          <w:spacing w:val="-3"/>
        </w:rPr>
        <w:t xml:space="preserve">Property Owner </w:t>
      </w:r>
      <w:r w:rsidRPr="00D75D5F">
        <w:rPr>
          <w:spacing w:val="-3"/>
        </w:rPr>
        <w:t>Information Letter is provided at the end of this section.</w:t>
      </w:r>
    </w:p>
    <w:p w14:paraId="2D49D2D6" w14:textId="435FE284" w:rsidR="00535EF0" w:rsidRPr="00D75D5F" w:rsidRDefault="00535EF0" w:rsidP="00535EF0">
      <w:pPr>
        <w:jc w:val="both"/>
      </w:pPr>
      <w:r w:rsidRPr="00D75D5F">
        <w:rPr>
          <w:spacing w:val="-3"/>
        </w:rPr>
        <w:t xml:space="preserve">After receiving the list of riparian </w:t>
      </w:r>
      <w:r w:rsidR="00B21D3E" w:rsidRPr="00D75D5F">
        <w:rPr>
          <w:spacing w:val="-3"/>
        </w:rPr>
        <w:t xml:space="preserve">property owners </w:t>
      </w:r>
      <w:r w:rsidRPr="00D75D5F">
        <w:rPr>
          <w:spacing w:val="-3"/>
        </w:rPr>
        <w:t xml:space="preserve">from the commissioner or assessor, send each riparian </w:t>
      </w:r>
      <w:r w:rsidR="00B21D3E" w:rsidRPr="00D75D5F">
        <w:rPr>
          <w:spacing w:val="-3"/>
        </w:rPr>
        <w:t xml:space="preserve">property owner </w:t>
      </w:r>
      <w:r w:rsidRPr="00D75D5F">
        <w:rPr>
          <w:spacing w:val="-3"/>
        </w:rPr>
        <w:t xml:space="preserve">a notification letter.  The letter should identify the name of the applicant, the project location, a description of the proposed activities and impacts, and a brief explanation of the Public Notice process.  </w:t>
      </w:r>
    </w:p>
    <w:p w14:paraId="042A257A" w14:textId="32FFF090" w:rsidR="00535EF0" w:rsidRPr="00535EF0" w:rsidRDefault="00756F09" w:rsidP="00535EF0">
      <w:pPr>
        <w:jc w:val="both"/>
      </w:pPr>
      <w:r w:rsidRPr="00D75D5F">
        <w:t xml:space="preserve">Per § </w:t>
      </w:r>
      <w:hyperlink r:id="rId50" w:history="1">
        <w:r w:rsidRPr="00D75D5F">
          <w:rPr>
            <w:rStyle w:val="Hyperlink"/>
          </w:rPr>
          <w:t>62.1-</w:t>
        </w:r>
        <w:r w:rsidR="00247685" w:rsidRPr="00D75D5F">
          <w:rPr>
            <w:rStyle w:val="Hyperlink"/>
          </w:rPr>
          <w:t>44.15:4</w:t>
        </w:r>
      </w:hyperlink>
      <w:r w:rsidR="00247685" w:rsidRPr="00D75D5F">
        <w:t>, if</w:t>
      </w:r>
      <w:r w:rsidR="00535EF0" w:rsidRPr="00D75D5F">
        <w:t xml:space="preserve"> contacted by a </w:t>
      </w:r>
      <w:r w:rsidR="00316CC6" w:rsidRPr="00D75D5F">
        <w:t>property owner</w:t>
      </w:r>
      <w:r w:rsidR="00535EF0" w:rsidRPr="00D75D5F">
        <w:t xml:space="preserve">, address their questions and provide them with any requested information.  The request and </w:t>
      </w:r>
      <w:r w:rsidR="009F3FCE" w:rsidRPr="00D75D5F">
        <w:t>staff</w:t>
      </w:r>
      <w:r w:rsidR="00535EF0" w:rsidRPr="00D75D5F">
        <w:t xml:space="preserve">’s response may be subject to the Freedom of Information Act procedures (see </w:t>
      </w:r>
      <w:hyperlink r:id="rId51" w:history="1">
        <w:r w:rsidR="00535EF0" w:rsidRPr="00D75D5F">
          <w:rPr>
            <w:rStyle w:val="Hyperlink"/>
          </w:rPr>
          <w:t>http://www.deq.virginia.gov/info/foia.html</w:t>
        </w:r>
      </w:hyperlink>
      <w:r w:rsidR="00535EF0" w:rsidRPr="00D75D5F">
        <w:t xml:space="preserve">).   Staff may also offer to send a copy of </w:t>
      </w:r>
      <w:r w:rsidR="00535EF0" w:rsidRPr="00D75D5F">
        <w:lastRenderedPageBreak/>
        <w:t xml:space="preserve">the Public Notice to the </w:t>
      </w:r>
      <w:r w:rsidR="00316CC6" w:rsidRPr="00D75D5F">
        <w:t xml:space="preserve">property owner </w:t>
      </w:r>
      <w:r w:rsidR="00890236" w:rsidRPr="00D75D5F">
        <w:t>once</w:t>
      </w:r>
      <w:r w:rsidR="00535EF0" w:rsidRPr="00D75D5F">
        <w:t xml:space="preserve"> the draft is approved by the applicant and the notice is published.</w:t>
      </w:r>
    </w:p>
    <w:p w14:paraId="5FEC629B" w14:textId="1B12C55F" w:rsidR="00AA054B" w:rsidRDefault="00AA054B" w:rsidP="00AA054B">
      <w:pPr>
        <w:pStyle w:val="Heading2"/>
      </w:pPr>
      <w:bookmarkStart w:id="26" w:name="_Toc536434596"/>
      <w:bookmarkStart w:id="27" w:name="_Toc179189541"/>
      <w:r>
        <w:t xml:space="preserve">5.7 State and Federal </w:t>
      </w:r>
      <w:r w:rsidR="009F3FCE">
        <w:t xml:space="preserve">Resource </w:t>
      </w:r>
      <w:r>
        <w:t>Agency Coordination</w:t>
      </w:r>
      <w:bookmarkEnd w:id="26"/>
      <w:bookmarkEnd w:id="27"/>
    </w:p>
    <w:p w14:paraId="0A8FB160" w14:textId="523841BC" w:rsidR="00AA054B" w:rsidRDefault="00AA054B" w:rsidP="00AA054B">
      <w:pPr>
        <w:pStyle w:val="Heading3"/>
      </w:pPr>
      <w:bookmarkStart w:id="28" w:name="_Toc536434597"/>
      <w:bookmarkStart w:id="29" w:name="_Toc179189542"/>
      <w:r>
        <w:t>5.7.1 Coordination with State</w:t>
      </w:r>
      <w:r w:rsidR="009F3FCE">
        <w:t xml:space="preserve"> Resource</w:t>
      </w:r>
      <w:r>
        <w:t xml:space="preserve"> Agencies</w:t>
      </w:r>
      <w:bookmarkEnd w:id="28"/>
      <w:bookmarkEnd w:id="29"/>
    </w:p>
    <w:p w14:paraId="1642FF0A" w14:textId="77777777" w:rsidR="00061343" w:rsidRPr="00821EA7" w:rsidRDefault="00061343" w:rsidP="00061343">
      <w:pPr>
        <w:jc w:val="both"/>
      </w:pPr>
      <w:r w:rsidRPr="00821EA7">
        <w:t>Unlike the general permit process, state coordination for an individual permit is always required, but does not require pre-screening via agency resource databases. Table 3 lists the state agencies and contacts that staff is required to coordinate with for comments.</w:t>
      </w:r>
    </w:p>
    <w:p w14:paraId="233ED7E9" w14:textId="77777777" w:rsidR="00061343" w:rsidRPr="00821EA7" w:rsidRDefault="00061343" w:rsidP="00061343">
      <w:pPr>
        <w:jc w:val="both"/>
      </w:pPr>
      <w:r w:rsidRPr="00821EA7">
        <w:t>Options for staff to solicit comments include:</w:t>
      </w:r>
    </w:p>
    <w:p w14:paraId="3CEDBEBE" w14:textId="77777777" w:rsidR="00061343" w:rsidRPr="00821EA7" w:rsidRDefault="00061343" w:rsidP="00061343">
      <w:pPr>
        <w:pStyle w:val="ListParagraph"/>
        <w:numPr>
          <w:ilvl w:val="0"/>
          <w:numId w:val="22"/>
        </w:numPr>
        <w:jc w:val="both"/>
        <w:rPr>
          <w:sz w:val="22"/>
          <w:szCs w:val="22"/>
        </w:rPr>
      </w:pPr>
      <w:r w:rsidRPr="00821EA7">
        <w:rPr>
          <w:sz w:val="22"/>
          <w:szCs w:val="22"/>
        </w:rPr>
        <w:t>VIA e-mail, provide the request letter and if applicable, the Joint Permit Application materials. This works best for smaller sized files.</w:t>
      </w:r>
    </w:p>
    <w:p w14:paraId="07BB423D" w14:textId="77777777" w:rsidR="00061343" w:rsidRPr="00821EA7" w:rsidRDefault="00061343" w:rsidP="00061343">
      <w:pPr>
        <w:pStyle w:val="ListParagraph"/>
        <w:numPr>
          <w:ilvl w:val="0"/>
          <w:numId w:val="22"/>
        </w:numPr>
        <w:jc w:val="both"/>
        <w:rPr>
          <w:sz w:val="22"/>
          <w:szCs w:val="22"/>
        </w:rPr>
      </w:pPr>
      <w:r w:rsidRPr="00821EA7">
        <w:rPr>
          <w:sz w:val="22"/>
          <w:szCs w:val="22"/>
        </w:rPr>
        <w:t>VWP staff may share links to these documents with other Virginia state agencies only via emailing links to the OneDrive-Commonwealth of Virginia SharePoint system, assuming that the state resource agency also has SharePoint capabilities.</w:t>
      </w:r>
    </w:p>
    <w:p w14:paraId="100A6667" w14:textId="0231E4FB" w:rsidR="00651548" w:rsidRPr="00821EA7" w:rsidRDefault="00061343" w:rsidP="00821EA7">
      <w:pPr>
        <w:pStyle w:val="ListParagraph"/>
        <w:numPr>
          <w:ilvl w:val="0"/>
          <w:numId w:val="22"/>
        </w:numPr>
        <w:jc w:val="both"/>
        <w:rPr>
          <w:sz w:val="22"/>
          <w:szCs w:val="22"/>
        </w:rPr>
      </w:pPr>
      <w:r w:rsidRPr="00821EA7">
        <w:rPr>
          <w:sz w:val="22"/>
          <w:szCs w:val="22"/>
        </w:rPr>
        <w:t xml:space="preserve">Use the large-file transfer tool </w:t>
      </w:r>
      <w:hyperlink r:id="rId52" w:history="1">
        <w:r w:rsidRPr="00821EA7">
          <w:rPr>
            <w:sz w:val="22"/>
            <w:szCs w:val="22"/>
          </w:rPr>
          <w:t>VITAShare</w:t>
        </w:r>
      </w:hyperlink>
      <w:r w:rsidRPr="00821EA7">
        <w:rPr>
          <w:sz w:val="22"/>
          <w:szCs w:val="22"/>
        </w:rPr>
        <w:t>. VitaShare has a pre-file size limitation of 50 MB.</w:t>
      </w:r>
    </w:p>
    <w:p w14:paraId="019CAA83" w14:textId="77777777" w:rsidR="00821EA7" w:rsidRPr="00821EA7" w:rsidRDefault="00821EA7" w:rsidP="00821EA7">
      <w:pPr>
        <w:pStyle w:val="ListParagraph"/>
        <w:ind w:left="765"/>
        <w:jc w:val="both"/>
        <w:rPr>
          <w:sz w:val="22"/>
          <w:szCs w:val="22"/>
        </w:rPr>
      </w:pPr>
    </w:p>
    <w:p w14:paraId="459453EA" w14:textId="19594074" w:rsidR="00535EF0" w:rsidRPr="00BD3CAE" w:rsidRDefault="00535EF0" w:rsidP="00535EF0">
      <w:pPr>
        <w:rPr>
          <w:sz w:val="20"/>
          <w:szCs w:val="20"/>
        </w:rPr>
      </w:pPr>
      <w:r w:rsidRPr="00BD3CAE">
        <w:rPr>
          <w:sz w:val="20"/>
          <w:szCs w:val="20"/>
        </w:rPr>
        <w:t xml:space="preserve">Table </w:t>
      </w:r>
      <w:r w:rsidR="002D03D1" w:rsidRPr="00BD3CAE">
        <w:rPr>
          <w:sz w:val="20"/>
          <w:szCs w:val="20"/>
        </w:rPr>
        <w:t>3</w:t>
      </w:r>
      <w:r w:rsidRPr="00BD3CAE">
        <w:rPr>
          <w:sz w:val="20"/>
          <w:szCs w:val="20"/>
        </w:rPr>
        <w:t xml:space="preserve">: State </w:t>
      </w:r>
      <w:r w:rsidR="009F3FCE" w:rsidRPr="00BD3CAE">
        <w:rPr>
          <w:sz w:val="20"/>
          <w:szCs w:val="20"/>
        </w:rPr>
        <w:t xml:space="preserve">Resource </w:t>
      </w:r>
      <w:r w:rsidRPr="00BD3CAE">
        <w:rPr>
          <w:sz w:val="20"/>
          <w:szCs w:val="20"/>
        </w:rPr>
        <w:t>Agency Contacts</w:t>
      </w:r>
    </w:p>
    <w:tbl>
      <w:tblPr>
        <w:tblW w:w="8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State Agency Contacts"/>
        <w:tblDescription w:val="List of contact information for state resource agency personnel"/>
      </w:tblPr>
      <w:tblGrid>
        <w:gridCol w:w="1185"/>
        <w:gridCol w:w="1800"/>
        <w:gridCol w:w="2880"/>
        <w:gridCol w:w="2880"/>
      </w:tblGrid>
      <w:tr w:rsidR="00A11246" w:rsidRPr="00B672FE" w14:paraId="5F943099" w14:textId="77777777" w:rsidTr="00A935E9">
        <w:trPr>
          <w:cantSplit/>
          <w:trHeight w:val="315"/>
          <w:tblHeader/>
        </w:trPr>
        <w:tc>
          <w:tcPr>
            <w:tcW w:w="1185" w:type="dxa"/>
            <w:shd w:val="clear" w:color="auto" w:fill="auto"/>
            <w:noWrap/>
            <w:vAlign w:val="center"/>
            <w:hideMark/>
          </w:tcPr>
          <w:p w14:paraId="66642002" w14:textId="77777777" w:rsidR="00A11246" w:rsidRPr="001C44EC" w:rsidRDefault="00A11246" w:rsidP="00A935E9">
            <w:pPr>
              <w:jc w:val="center"/>
              <w:rPr>
                <w:b/>
                <w:sz w:val="18"/>
                <w:szCs w:val="18"/>
              </w:rPr>
            </w:pPr>
            <w:r w:rsidRPr="001C44EC">
              <w:rPr>
                <w:b/>
                <w:sz w:val="18"/>
                <w:szCs w:val="18"/>
              </w:rPr>
              <w:t>Agency</w:t>
            </w:r>
          </w:p>
        </w:tc>
        <w:tc>
          <w:tcPr>
            <w:tcW w:w="1800" w:type="dxa"/>
            <w:shd w:val="clear" w:color="auto" w:fill="auto"/>
            <w:vAlign w:val="center"/>
            <w:hideMark/>
          </w:tcPr>
          <w:p w14:paraId="2A2CCB10" w14:textId="77777777" w:rsidR="00A11246" w:rsidRPr="001C44EC" w:rsidRDefault="00A11246" w:rsidP="00A935E9">
            <w:pPr>
              <w:jc w:val="center"/>
              <w:rPr>
                <w:b/>
                <w:sz w:val="18"/>
                <w:szCs w:val="18"/>
              </w:rPr>
            </w:pPr>
            <w:r w:rsidRPr="001C44EC">
              <w:rPr>
                <w:b/>
                <w:sz w:val="18"/>
                <w:szCs w:val="18"/>
              </w:rPr>
              <w:t>Contact</w:t>
            </w:r>
          </w:p>
        </w:tc>
        <w:tc>
          <w:tcPr>
            <w:tcW w:w="2880" w:type="dxa"/>
            <w:shd w:val="clear" w:color="auto" w:fill="auto"/>
            <w:noWrap/>
            <w:vAlign w:val="center"/>
            <w:hideMark/>
          </w:tcPr>
          <w:p w14:paraId="1376F297" w14:textId="77777777" w:rsidR="00A11246" w:rsidRPr="001C44EC" w:rsidRDefault="00A11246" w:rsidP="00A935E9">
            <w:pPr>
              <w:jc w:val="center"/>
              <w:rPr>
                <w:b/>
                <w:sz w:val="18"/>
                <w:szCs w:val="18"/>
              </w:rPr>
            </w:pPr>
            <w:r w:rsidRPr="001C44EC">
              <w:rPr>
                <w:b/>
                <w:sz w:val="18"/>
                <w:szCs w:val="18"/>
              </w:rPr>
              <w:t>Email/Web</w:t>
            </w:r>
          </w:p>
        </w:tc>
        <w:tc>
          <w:tcPr>
            <w:tcW w:w="2880" w:type="dxa"/>
            <w:shd w:val="clear" w:color="auto" w:fill="auto"/>
            <w:noWrap/>
            <w:vAlign w:val="center"/>
            <w:hideMark/>
          </w:tcPr>
          <w:p w14:paraId="55455329" w14:textId="77777777" w:rsidR="00A11246" w:rsidRPr="001C44EC" w:rsidRDefault="00A11246" w:rsidP="00A935E9">
            <w:pPr>
              <w:jc w:val="center"/>
              <w:rPr>
                <w:b/>
                <w:sz w:val="18"/>
                <w:szCs w:val="18"/>
              </w:rPr>
            </w:pPr>
            <w:r w:rsidRPr="001C44EC">
              <w:rPr>
                <w:b/>
                <w:sz w:val="18"/>
                <w:szCs w:val="18"/>
              </w:rPr>
              <w:t>Notes</w:t>
            </w:r>
          </w:p>
        </w:tc>
      </w:tr>
      <w:tr w:rsidR="00A11246" w:rsidRPr="00B672FE" w14:paraId="08ECD97D" w14:textId="77777777" w:rsidTr="00A935E9">
        <w:trPr>
          <w:cantSplit/>
          <w:trHeight w:val="990"/>
        </w:trPr>
        <w:tc>
          <w:tcPr>
            <w:tcW w:w="1185" w:type="dxa"/>
            <w:shd w:val="clear" w:color="auto" w:fill="auto"/>
            <w:noWrap/>
            <w:vAlign w:val="center"/>
            <w:hideMark/>
          </w:tcPr>
          <w:p w14:paraId="53193C37" w14:textId="571CFB69" w:rsidR="00A11246" w:rsidRPr="001C44EC" w:rsidRDefault="00C55066" w:rsidP="00A935E9">
            <w:pPr>
              <w:rPr>
                <w:sz w:val="18"/>
                <w:szCs w:val="18"/>
              </w:rPr>
            </w:pPr>
            <w:r>
              <w:rPr>
                <w:sz w:val="18"/>
                <w:szCs w:val="18"/>
              </w:rPr>
              <w:t>VDCR</w:t>
            </w:r>
            <w:r w:rsidR="00A11246" w:rsidRPr="001C44EC">
              <w:rPr>
                <w:sz w:val="18"/>
                <w:szCs w:val="18"/>
              </w:rPr>
              <w:t xml:space="preserve">-All </w:t>
            </w:r>
            <w:r>
              <w:rPr>
                <w:sz w:val="18"/>
                <w:szCs w:val="18"/>
              </w:rPr>
              <w:t>VDCR</w:t>
            </w:r>
          </w:p>
        </w:tc>
        <w:tc>
          <w:tcPr>
            <w:tcW w:w="1800" w:type="dxa"/>
            <w:shd w:val="clear" w:color="auto" w:fill="auto"/>
            <w:vAlign w:val="center"/>
            <w:hideMark/>
          </w:tcPr>
          <w:p w14:paraId="0A27F3A2" w14:textId="29B30B18" w:rsidR="00A11246" w:rsidRPr="00AE5F7E" w:rsidRDefault="00496F2B" w:rsidP="00AE5F7E">
            <w:pPr>
              <w:rPr>
                <w:sz w:val="18"/>
                <w:szCs w:val="18"/>
              </w:rPr>
            </w:pPr>
            <w:r>
              <w:rPr>
                <w:color w:val="222222"/>
                <w:sz w:val="18"/>
                <w:szCs w:val="18"/>
                <w:shd w:val="clear" w:color="auto" w:fill="FFFFFF"/>
              </w:rPr>
              <w:t>Allison Tillett</w:t>
            </w:r>
          </w:p>
        </w:tc>
        <w:tc>
          <w:tcPr>
            <w:tcW w:w="2880" w:type="dxa"/>
            <w:shd w:val="clear" w:color="auto" w:fill="auto"/>
            <w:vAlign w:val="center"/>
            <w:hideMark/>
          </w:tcPr>
          <w:p w14:paraId="39BA45AD" w14:textId="18A3D2C0" w:rsidR="00CF4625" w:rsidRPr="00496F2B" w:rsidRDefault="00E86793" w:rsidP="00496F2B">
            <w:pPr>
              <w:rPr>
                <w:color w:val="0000FF"/>
                <w:sz w:val="18"/>
                <w:szCs w:val="18"/>
                <w:u w:val="single"/>
              </w:rPr>
            </w:pPr>
            <w:hyperlink r:id="rId53" w:history="1">
              <w:r w:rsidR="00496F2B" w:rsidRPr="00496F2B">
                <w:rPr>
                  <w:rStyle w:val="Hyperlink"/>
                  <w:sz w:val="18"/>
                  <w:szCs w:val="18"/>
                </w:rPr>
                <w:t>envreview@dcr.virginia.gov</w:t>
              </w:r>
            </w:hyperlink>
          </w:p>
        </w:tc>
        <w:tc>
          <w:tcPr>
            <w:tcW w:w="2880" w:type="dxa"/>
            <w:shd w:val="clear" w:color="auto" w:fill="auto"/>
            <w:vAlign w:val="center"/>
            <w:hideMark/>
          </w:tcPr>
          <w:p w14:paraId="410CF6BE" w14:textId="7924C66B" w:rsidR="00496F2B" w:rsidRDefault="00712FE0" w:rsidP="00496F2B">
            <w:pPr>
              <w:shd w:val="clear" w:color="auto" w:fill="FFFFFF"/>
              <w:rPr>
                <w:rFonts w:cstheme="minorHAnsi"/>
                <w:color w:val="222222"/>
                <w:sz w:val="18"/>
                <w:szCs w:val="18"/>
              </w:rPr>
            </w:pPr>
            <w:r>
              <w:rPr>
                <w:rFonts w:cstheme="minorHAnsi"/>
                <w:color w:val="222222"/>
                <w:sz w:val="18"/>
                <w:szCs w:val="18"/>
              </w:rPr>
              <w:t>When applicable, p</w:t>
            </w:r>
            <w:r w:rsidR="00496F2B" w:rsidRPr="00496F2B">
              <w:rPr>
                <w:rFonts w:cstheme="minorHAnsi"/>
                <w:color w:val="222222"/>
                <w:sz w:val="18"/>
                <w:szCs w:val="18"/>
              </w:rPr>
              <w:t xml:space="preserve">lease submit the </w:t>
            </w:r>
            <w:r w:rsidR="008E19FB">
              <w:rPr>
                <w:rFonts w:cstheme="minorHAnsi"/>
                <w:color w:val="222222"/>
                <w:sz w:val="18"/>
                <w:szCs w:val="18"/>
              </w:rPr>
              <w:t xml:space="preserve">individual permit </w:t>
            </w:r>
            <w:r w:rsidR="00496F2B" w:rsidRPr="00496F2B">
              <w:rPr>
                <w:rFonts w:cstheme="minorHAnsi"/>
                <w:color w:val="222222"/>
                <w:sz w:val="18"/>
                <w:szCs w:val="18"/>
              </w:rPr>
              <w:t>project directly to</w:t>
            </w:r>
            <w:r w:rsidR="00496F2B">
              <w:rPr>
                <w:rFonts w:cstheme="minorHAnsi"/>
                <w:color w:val="222222"/>
                <w:sz w:val="18"/>
                <w:szCs w:val="18"/>
              </w:rPr>
              <w:t xml:space="preserve"> Allison Tillett</w:t>
            </w:r>
            <w:r w:rsidR="00496F2B" w:rsidRPr="00496F2B">
              <w:rPr>
                <w:rFonts w:cstheme="minorHAnsi"/>
                <w:color w:val="222222"/>
                <w:sz w:val="18"/>
                <w:szCs w:val="18"/>
              </w:rPr>
              <w:t xml:space="preserve">, </w:t>
            </w:r>
            <w:r w:rsidR="00C55066">
              <w:rPr>
                <w:rFonts w:cstheme="minorHAnsi"/>
                <w:color w:val="222222"/>
                <w:sz w:val="18"/>
                <w:szCs w:val="18"/>
              </w:rPr>
              <w:t>VDCR</w:t>
            </w:r>
            <w:r w:rsidR="00496F2B" w:rsidRPr="00496F2B">
              <w:rPr>
                <w:rFonts w:cstheme="minorHAnsi"/>
                <w:color w:val="222222"/>
                <w:sz w:val="18"/>
                <w:szCs w:val="18"/>
              </w:rPr>
              <w:t xml:space="preserve"> E</w:t>
            </w:r>
            <w:r w:rsidR="00496F2B">
              <w:rPr>
                <w:rFonts w:cstheme="minorHAnsi"/>
                <w:color w:val="222222"/>
                <w:sz w:val="18"/>
                <w:szCs w:val="18"/>
              </w:rPr>
              <w:t>nvironmental</w:t>
            </w:r>
            <w:r w:rsidR="00496F2B">
              <w:rPr>
                <w:rFonts w:cstheme="minorHAnsi"/>
                <w:color w:val="222222"/>
                <w:sz w:val="18"/>
                <w:szCs w:val="18"/>
              </w:rPr>
              <w:br/>
              <w:t xml:space="preserve">Review Coordinator, </w:t>
            </w:r>
            <w:r w:rsidR="00496F2B" w:rsidRPr="00496F2B">
              <w:rPr>
                <w:rFonts w:cstheme="minorHAnsi"/>
                <w:color w:val="222222"/>
                <w:sz w:val="18"/>
                <w:szCs w:val="18"/>
              </w:rPr>
              <w:t xml:space="preserve">for coordination with all the </w:t>
            </w:r>
            <w:r w:rsidR="00C55066">
              <w:rPr>
                <w:rFonts w:cstheme="minorHAnsi"/>
                <w:color w:val="222222"/>
                <w:sz w:val="18"/>
                <w:szCs w:val="18"/>
              </w:rPr>
              <w:t>VDCR</w:t>
            </w:r>
            <w:r w:rsidR="00496F2B" w:rsidRPr="00496F2B">
              <w:rPr>
                <w:rFonts w:cstheme="minorHAnsi"/>
                <w:color w:val="222222"/>
                <w:sz w:val="18"/>
                <w:szCs w:val="18"/>
              </w:rPr>
              <w:t xml:space="preserve"> divisions. An agency comment letter will be provided via email.</w:t>
            </w:r>
          </w:p>
          <w:p w14:paraId="3A0FBDB0" w14:textId="18C7B8E5" w:rsidR="00A11246" w:rsidRPr="00496F2B" w:rsidRDefault="00CF4625" w:rsidP="00496F2B">
            <w:pPr>
              <w:shd w:val="clear" w:color="auto" w:fill="FFFFFF"/>
              <w:rPr>
                <w:rFonts w:cstheme="minorHAnsi"/>
                <w:sz w:val="18"/>
                <w:szCs w:val="18"/>
              </w:rPr>
            </w:pPr>
            <w:r w:rsidRPr="00496F2B">
              <w:rPr>
                <w:rFonts w:cstheme="minorHAnsi"/>
                <w:sz w:val="18"/>
                <w:szCs w:val="18"/>
              </w:rPr>
              <w:t>[Effective</w:t>
            </w:r>
            <w:r w:rsidR="00F208EB" w:rsidRPr="00496F2B">
              <w:rPr>
                <w:rFonts w:cstheme="minorHAnsi"/>
                <w:sz w:val="18"/>
                <w:szCs w:val="18"/>
              </w:rPr>
              <w:t xml:space="preserve"> </w:t>
            </w:r>
            <w:r w:rsidR="00496F2B" w:rsidRPr="00496F2B">
              <w:rPr>
                <w:rFonts w:cstheme="minorHAnsi"/>
                <w:sz w:val="18"/>
                <w:szCs w:val="18"/>
              </w:rPr>
              <w:t>8</w:t>
            </w:r>
            <w:r w:rsidR="00AE5F7E" w:rsidRPr="00496F2B">
              <w:rPr>
                <w:rFonts w:cstheme="minorHAnsi"/>
                <w:sz w:val="18"/>
                <w:szCs w:val="18"/>
              </w:rPr>
              <w:t>/</w:t>
            </w:r>
            <w:r w:rsidR="00496F2B" w:rsidRPr="00496F2B">
              <w:rPr>
                <w:rFonts w:cstheme="minorHAnsi"/>
                <w:sz w:val="18"/>
                <w:szCs w:val="18"/>
              </w:rPr>
              <w:t>12</w:t>
            </w:r>
            <w:r w:rsidR="00AE5F7E" w:rsidRPr="00496F2B">
              <w:rPr>
                <w:rFonts w:cstheme="minorHAnsi"/>
                <w:sz w:val="18"/>
                <w:szCs w:val="18"/>
              </w:rPr>
              <w:t>/2022</w:t>
            </w:r>
            <w:r w:rsidRPr="00496F2B">
              <w:rPr>
                <w:rFonts w:cstheme="minorHAnsi"/>
                <w:sz w:val="18"/>
                <w:szCs w:val="18"/>
              </w:rPr>
              <w:t>]</w:t>
            </w:r>
          </w:p>
        </w:tc>
      </w:tr>
      <w:tr w:rsidR="00671AEB" w:rsidRPr="00B672FE" w14:paraId="69C9E501" w14:textId="77777777" w:rsidTr="00671AEB">
        <w:trPr>
          <w:cantSplit/>
          <w:trHeight w:val="530"/>
        </w:trPr>
        <w:tc>
          <w:tcPr>
            <w:tcW w:w="1185" w:type="dxa"/>
            <w:shd w:val="clear" w:color="auto" w:fill="auto"/>
            <w:noWrap/>
            <w:vAlign w:val="center"/>
          </w:tcPr>
          <w:p w14:paraId="32A213CD" w14:textId="4BCC1E2D" w:rsidR="00671AEB" w:rsidRPr="001C44EC" w:rsidRDefault="00671AEB" w:rsidP="00671AEB">
            <w:pPr>
              <w:rPr>
                <w:sz w:val="18"/>
                <w:szCs w:val="18"/>
              </w:rPr>
            </w:pPr>
            <w:r w:rsidRPr="001C44EC">
              <w:rPr>
                <w:sz w:val="18"/>
                <w:szCs w:val="18"/>
              </w:rPr>
              <w:t>VMRC</w:t>
            </w:r>
          </w:p>
        </w:tc>
        <w:tc>
          <w:tcPr>
            <w:tcW w:w="1800" w:type="dxa"/>
            <w:shd w:val="clear" w:color="auto" w:fill="auto"/>
            <w:vAlign w:val="center"/>
          </w:tcPr>
          <w:p w14:paraId="70AE6F6C" w14:textId="737B6333" w:rsidR="00671AEB" w:rsidRDefault="00671AEB" w:rsidP="00671AEB">
            <w:pPr>
              <w:rPr>
                <w:sz w:val="18"/>
                <w:szCs w:val="18"/>
              </w:rPr>
            </w:pPr>
            <w:r w:rsidRPr="001C44EC">
              <w:rPr>
                <w:sz w:val="18"/>
                <w:szCs w:val="18"/>
              </w:rPr>
              <w:t xml:space="preserve">VMRC </w:t>
            </w:r>
            <w:r>
              <w:rPr>
                <w:sz w:val="18"/>
                <w:szCs w:val="18"/>
              </w:rPr>
              <w:t>JPA submittal email.</w:t>
            </w:r>
          </w:p>
          <w:p w14:paraId="0EDE5D4B" w14:textId="6EF58296" w:rsidR="00671AEB" w:rsidRPr="001C44EC" w:rsidRDefault="00671AEB" w:rsidP="00671AEB">
            <w:pPr>
              <w:rPr>
                <w:sz w:val="18"/>
                <w:szCs w:val="18"/>
              </w:rPr>
            </w:pPr>
            <w:proofErr w:type="gramStart"/>
            <w:r w:rsidRPr="001C44EC">
              <w:rPr>
                <w:sz w:val="18"/>
                <w:szCs w:val="18"/>
              </w:rPr>
              <w:t>Also</w:t>
            </w:r>
            <w:proofErr w:type="gramEnd"/>
            <w:r w:rsidRPr="001C44EC">
              <w:rPr>
                <w:sz w:val="18"/>
                <w:szCs w:val="18"/>
              </w:rPr>
              <w:t xml:space="preserve"> CC Beth Howell</w:t>
            </w:r>
            <w:r>
              <w:rPr>
                <w:sz w:val="18"/>
                <w:szCs w:val="18"/>
              </w:rPr>
              <w:t>, Tiffany Birge</w:t>
            </w:r>
          </w:p>
        </w:tc>
        <w:tc>
          <w:tcPr>
            <w:tcW w:w="2880" w:type="dxa"/>
            <w:shd w:val="clear" w:color="auto" w:fill="auto"/>
            <w:vAlign w:val="center"/>
            <w:hideMark/>
          </w:tcPr>
          <w:p w14:paraId="1D777927" w14:textId="77777777" w:rsidR="00671AEB" w:rsidRDefault="00671AEB" w:rsidP="00671AEB">
            <w:pPr>
              <w:rPr>
                <w:rStyle w:val="Hyperlink"/>
                <w:sz w:val="18"/>
                <w:szCs w:val="18"/>
              </w:rPr>
            </w:pPr>
          </w:p>
          <w:p w14:paraId="1935FDA7" w14:textId="4383BD4F" w:rsidR="00671AEB" w:rsidRDefault="00E86793" w:rsidP="00671AEB">
            <w:hyperlink r:id="rId54" w:tgtFrame="_blank" w:history="1">
              <w:r w:rsidR="008E19FB" w:rsidRPr="00DC2F8F">
                <w:rPr>
                  <w:rStyle w:val="Hyperlink"/>
                  <w:color w:val="1155CC"/>
                  <w:sz w:val="18"/>
                  <w:szCs w:val="18"/>
                  <w:shd w:val="clear" w:color="auto" w:fill="FFFFFF"/>
                </w:rPr>
                <w:t>scoping@mrc.virginia.gov</w:t>
              </w:r>
            </w:hyperlink>
          </w:p>
          <w:p w14:paraId="03ADB41B" w14:textId="6D5CB91A" w:rsidR="00671AEB" w:rsidRDefault="00E86793" w:rsidP="00671AEB">
            <w:pPr>
              <w:rPr>
                <w:rStyle w:val="Hyperlink"/>
                <w:sz w:val="18"/>
                <w:szCs w:val="18"/>
              </w:rPr>
            </w:pPr>
            <w:hyperlink r:id="rId55" w:history="1">
              <w:r w:rsidR="00671AEB" w:rsidRPr="003F14F3">
                <w:rPr>
                  <w:rStyle w:val="Hyperlink"/>
                  <w:sz w:val="18"/>
                  <w:szCs w:val="18"/>
                </w:rPr>
                <w:t>Beth.Howell@mrc.virginia.gov</w:t>
              </w:r>
            </w:hyperlink>
          </w:p>
          <w:p w14:paraId="02CF1AF4" w14:textId="0F05AB22" w:rsidR="00671AEB" w:rsidRPr="008F07EB" w:rsidRDefault="00671AEB" w:rsidP="00671AEB">
            <w:pPr>
              <w:rPr>
                <w:rStyle w:val="Hyperlink"/>
                <w:sz w:val="18"/>
                <w:szCs w:val="18"/>
              </w:rPr>
            </w:pPr>
            <w:r w:rsidRPr="00CF430A">
              <w:rPr>
                <w:rStyle w:val="Hyperlink"/>
                <w:sz w:val="18"/>
                <w:szCs w:val="18"/>
              </w:rPr>
              <w:t>tiffany.birge@mrc.virginia.gov</w:t>
            </w:r>
          </w:p>
          <w:p w14:paraId="39E32994" w14:textId="65F8F379" w:rsidR="00671AEB" w:rsidRPr="008F07EB" w:rsidRDefault="00E86793" w:rsidP="00671AEB">
            <w:pPr>
              <w:rPr>
                <w:color w:val="0000FF"/>
                <w:sz w:val="18"/>
                <w:szCs w:val="18"/>
                <w:u w:val="single"/>
              </w:rPr>
            </w:pPr>
            <w:hyperlink r:id="rId56" w:history="1"/>
          </w:p>
        </w:tc>
        <w:tc>
          <w:tcPr>
            <w:tcW w:w="2880" w:type="dxa"/>
            <w:shd w:val="clear" w:color="auto" w:fill="auto"/>
            <w:vAlign w:val="center"/>
            <w:hideMark/>
          </w:tcPr>
          <w:p w14:paraId="5ABEEE54" w14:textId="26432CE1" w:rsidR="00671AEB" w:rsidRPr="0039579B" w:rsidRDefault="0039579B" w:rsidP="00671AEB">
            <w:pPr>
              <w:rPr>
                <w:sz w:val="18"/>
                <w:szCs w:val="18"/>
              </w:rPr>
            </w:pPr>
            <w:r w:rsidRPr="0039579B">
              <w:rPr>
                <w:sz w:val="18"/>
                <w:szCs w:val="18"/>
              </w:rPr>
              <w:t>See also</w:t>
            </w:r>
            <w:r>
              <w:rPr>
                <w:sz w:val="18"/>
                <w:szCs w:val="18"/>
              </w:rPr>
              <w:t xml:space="preserve"> </w:t>
            </w:r>
            <w:r w:rsidR="00B271E5">
              <w:rPr>
                <w:rStyle w:val="Hyperlink"/>
                <w:sz w:val="18"/>
                <w:szCs w:val="18"/>
              </w:rPr>
              <w:t xml:space="preserve"> </w:t>
            </w:r>
            <w:hyperlink r:id="rId57" w:history="1">
              <w:r w:rsidR="00B271E5" w:rsidRPr="00B271E5">
                <w:rPr>
                  <w:rStyle w:val="Hyperlink"/>
                  <w:sz w:val="18"/>
                  <w:szCs w:val="18"/>
                </w:rPr>
                <w:t>DEQ-VMRC Memorandum of Agreement, Amended August 16, 2023</w:t>
              </w:r>
            </w:hyperlink>
          </w:p>
        </w:tc>
      </w:tr>
      <w:tr w:rsidR="00671AEB" w:rsidRPr="00B672FE" w14:paraId="2A9CFAD4" w14:textId="77777777" w:rsidTr="00A935E9">
        <w:trPr>
          <w:cantSplit/>
          <w:trHeight w:val="780"/>
        </w:trPr>
        <w:tc>
          <w:tcPr>
            <w:tcW w:w="1185" w:type="dxa"/>
            <w:shd w:val="clear" w:color="auto" w:fill="auto"/>
            <w:vAlign w:val="center"/>
            <w:hideMark/>
          </w:tcPr>
          <w:p w14:paraId="01634510" w14:textId="77777777" w:rsidR="00671AEB" w:rsidRPr="001C44EC" w:rsidRDefault="00671AEB" w:rsidP="00671AEB">
            <w:pPr>
              <w:rPr>
                <w:sz w:val="18"/>
                <w:szCs w:val="18"/>
              </w:rPr>
            </w:pPr>
            <w:r w:rsidRPr="001C44EC">
              <w:rPr>
                <w:sz w:val="18"/>
                <w:szCs w:val="18"/>
              </w:rPr>
              <w:t>VDH-ODW</w:t>
            </w:r>
          </w:p>
        </w:tc>
        <w:tc>
          <w:tcPr>
            <w:tcW w:w="1800" w:type="dxa"/>
            <w:shd w:val="clear" w:color="auto" w:fill="auto"/>
            <w:vAlign w:val="center"/>
            <w:hideMark/>
          </w:tcPr>
          <w:p w14:paraId="585D274A" w14:textId="79A667EF" w:rsidR="00671AEB" w:rsidRDefault="00671AEB" w:rsidP="00671AEB">
            <w:pPr>
              <w:rPr>
                <w:sz w:val="18"/>
                <w:szCs w:val="18"/>
              </w:rPr>
            </w:pPr>
            <w:r w:rsidRPr="006E2B09">
              <w:rPr>
                <w:sz w:val="18"/>
                <w:szCs w:val="18"/>
              </w:rPr>
              <w:t>O</w:t>
            </w:r>
            <w:r>
              <w:rPr>
                <w:sz w:val="18"/>
                <w:szCs w:val="18"/>
              </w:rPr>
              <w:t xml:space="preserve">ffice of </w:t>
            </w:r>
            <w:r w:rsidRPr="006E2B09">
              <w:rPr>
                <w:sz w:val="18"/>
                <w:szCs w:val="18"/>
              </w:rPr>
              <w:t>D</w:t>
            </w:r>
            <w:r>
              <w:rPr>
                <w:sz w:val="18"/>
                <w:szCs w:val="18"/>
              </w:rPr>
              <w:t xml:space="preserve">rinking </w:t>
            </w:r>
            <w:r w:rsidRPr="006E2B09">
              <w:rPr>
                <w:sz w:val="18"/>
                <w:szCs w:val="18"/>
              </w:rPr>
              <w:t>W</w:t>
            </w:r>
            <w:r>
              <w:rPr>
                <w:sz w:val="18"/>
                <w:szCs w:val="18"/>
              </w:rPr>
              <w:t>ater-</w:t>
            </w:r>
            <w:r w:rsidRPr="006E2B09">
              <w:rPr>
                <w:sz w:val="18"/>
                <w:szCs w:val="18"/>
              </w:rPr>
              <w:t xml:space="preserve"> Central Office</w:t>
            </w:r>
          </w:p>
          <w:p w14:paraId="08B92FBC" w14:textId="77777777" w:rsidR="00671AEB" w:rsidRDefault="00671AEB" w:rsidP="00671AEB">
            <w:pPr>
              <w:rPr>
                <w:sz w:val="18"/>
                <w:szCs w:val="18"/>
              </w:rPr>
            </w:pPr>
            <w:r>
              <w:rPr>
                <w:sz w:val="18"/>
                <w:szCs w:val="18"/>
              </w:rPr>
              <w:t>For applicable projects, staff should also notify Office of Shellfish Sanitation.</w:t>
            </w:r>
          </w:p>
          <w:p w14:paraId="4368E2D0" w14:textId="77777777" w:rsidR="00671AEB" w:rsidRPr="001C44EC" w:rsidRDefault="00671AEB" w:rsidP="00671AEB">
            <w:pPr>
              <w:rPr>
                <w:sz w:val="18"/>
                <w:szCs w:val="18"/>
              </w:rPr>
            </w:pPr>
          </w:p>
        </w:tc>
        <w:tc>
          <w:tcPr>
            <w:tcW w:w="2880" w:type="dxa"/>
            <w:shd w:val="clear" w:color="auto" w:fill="auto"/>
            <w:vAlign w:val="center"/>
            <w:hideMark/>
          </w:tcPr>
          <w:p w14:paraId="5E19D912" w14:textId="682ABA9D" w:rsidR="00671AEB" w:rsidRDefault="00E86793" w:rsidP="00671AEB">
            <w:pPr>
              <w:rPr>
                <w:sz w:val="18"/>
                <w:szCs w:val="18"/>
              </w:rPr>
            </w:pPr>
            <w:hyperlink r:id="rId58" w:history="1"/>
            <w:r w:rsidR="00671AEB">
              <w:rPr>
                <w:rStyle w:val="Hyperlink"/>
                <w:sz w:val="18"/>
                <w:szCs w:val="18"/>
              </w:rPr>
              <w:t xml:space="preserve"> </w:t>
            </w:r>
            <w:r w:rsidR="00671AEB" w:rsidRPr="006E2B09">
              <w:rPr>
                <w:rStyle w:val="Hyperlink"/>
                <w:sz w:val="18"/>
                <w:szCs w:val="18"/>
              </w:rPr>
              <w:t>odwreview@vdh.virginia.gov</w:t>
            </w:r>
          </w:p>
          <w:p w14:paraId="7D9B3D9F" w14:textId="0DC15B01" w:rsidR="00671AEB" w:rsidRPr="008F07EB" w:rsidRDefault="00671AEB" w:rsidP="00671AEB">
            <w:pPr>
              <w:rPr>
                <w:sz w:val="18"/>
                <w:szCs w:val="18"/>
              </w:rPr>
            </w:pPr>
          </w:p>
        </w:tc>
        <w:tc>
          <w:tcPr>
            <w:tcW w:w="2880" w:type="dxa"/>
            <w:shd w:val="clear" w:color="auto" w:fill="auto"/>
            <w:vAlign w:val="center"/>
            <w:hideMark/>
          </w:tcPr>
          <w:p w14:paraId="0093D90B" w14:textId="77777777" w:rsidR="00671AEB" w:rsidRDefault="00671AEB" w:rsidP="00671AEB">
            <w:pPr>
              <w:rPr>
                <w:sz w:val="18"/>
                <w:szCs w:val="18"/>
              </w:rPr>
            </w:pPr>
            <w:r>
              <w:rPr>
                <w:sz w:val="18"/>
                <w:szCs w:val="18"/>
              </w:rPr>
              <w:t xml:space="preserve">This web page can be used to find VDH field office contact information: </w:t>
            </w:r>
            <w:hyperlink r:id="rId59" w:history="1">
              <w:r w:rsidRPr="006B6A6A">
                <w:rPr>
                  <w:rStyle w:val="Hyperlink"/>
                  <w:sz w:val="18"/>
                  <w:szCs w:val="18"/>
                </w:rPr>
                <w:t>https://www.vdh.virginia.gov/drinking-water/contact-us/</w:t>
              </w:r>
            </w:hyperlink>
          </w:p>
          <w:p w14:paraId="4797EE47" w14:textId="50C74600" w:rsidR="00671AEB" w:rsidRPr="006B6A6A" w:rsidRDefault="00671AEB" w:rsidP="00671AEB">
            <w:pPr>
              <w:rPr>
                <w:sz w:val="18"/>
                <w:szCs w:val="18"/>
              </w:rPr>
            </w:pPr>
          </w:p>
        </w:tc>
      </w:tr>
      <w:tr w:rsidR="00671AEB" w:rsidRPr="00B672FE" w14:paraId="74099112" w14:textId="77777777" w:rsidTr="00A935E9">
        <w:trPr>
          <w:cantSplit/>
          <w:trHeight w:val="1104"/>
        </w:trPr>
        <w:tc>
          <w:tcPr>
            <w:tcW w:w="1185" w:type="dxa"/>
            <w:shd w:val="clear" w:color="auto" w:fill="auto"/>
            <w:noWrap/>
            <w:vAlign w:val="center"/>
            <w:hideMark/>
          </w:tcPr>
          <w:p w14:paraId="634F531B" w14:textId="0A79A217" w:rsidR="00671AEB" w:rsidRPr="001C44EC" w:rsidRDefault="00C55066" w:rsidP="00671AEB">
            <w:pPr>
              <w:rPr>
                <w:sz w:val="18"/>
                <w:szCs w:val="18"/>
              </w:rPr>
            </w:pPr>
            <w:r>
              <w:rPr>
                <w:sz w:val="18"/>
                <w:szCs w:val="18"/>
              </w:rPr>
              <w:lastRenderedPageBreak/>
              <w:t>VDWR</w:t>
            </w:r>
          </w:p>
        </w:tc>
        <w:tc>
          <w:tcPr>
            <w:tcW w:w="1800" w:type="dxa"/>
            <w:shd w:val="clear" w:color="auto" w:fill="auto"/>
            <w:vAlign w:val="center"/>
            <w:hideMark/>
          </w:tcPr>
          <w:p w14:paraId="75342692" w14:textId="6EBE9BCB" w:rsidR="00671AEB" w:rsidRPr="001C44EC" w:rsidRDefault="00671AEB" w:rsidP="002565C3">
            <w:pPr>
              <w:rPr>
                <w:sz w:val="18"/>
                <w:szCs w:val="18"/>
              </w:rPr>
            </w:pPr>
            <w:r w:rsidRPr="001C44EC">
              <w:rPr>
                <w:sz w:val="18"/>
                <w:szCs w:val="18"/>
              </w:rPr>
              <w:t xml:space="preserve">Amy </w:t>
            </w:r>
            <w:r w:rsidR="002565C3">
              <w:rPr>
                <w:sz w:val="18"/>
                <w:szCs w:val="18"/>
              </w:rPr>
              <w:t>Martin</w:t>
            </w:r>
          </w:p>
        </w:tc>
        <w:tc>
          <w:tcPr>
            <w:tcW w:w="2880" w:type="dxa"/>
            <w:shd w:val="clear" w:color="auto" w:fill="auto"/>
            <w:vAlign w:val="center"/>
            <w:hideMark/>
          </w:tcPr>
          <w:p w14:paraId="6CB8A13A" w14:textId="33F7F7A7" w:rsidR="00671AEB" w:rsidRPr="008F07EB" w:rsidRDefault="00E86793" w:rsidP="00671AEB">
            <w:pPr>
              <w:rPr>
                <w:color w:val="0000FF"/>
                <w:sz w:val="18"/>
                <w:szCs w:val="18"/>
                <w:u w:val="single"/>
              </w:rPr>
            </w:pPr>
            <w:hyperlink r:id="rId60" w:history="1">
              <w:r w:rsidR="00671AEB" w:rsidRPr="00BC2896">
                <w:rPr>
                  <w:rStyle w:val="Hyperlink"/>
                  <w:sz w:val="18"/>
                  <w:szCs w:val="18"/>
                </w:rPr>
                <w:t>ESSProjects@dwr.virginia.gov</w:t>
              </w:r>
            </w:hyperlink>
          </w:p>
        </w:tc>
        <w:tc>
          <w:tcPr>
            <w:tcW w:w="2880" w:type="dxa"/>
            <w:shd w:val="clear" w:color="auto" w:fill="auto"/>
            <w:noWrap/>
            <w:vAlign w:val="center"/>
            <w:hideMark/>
          </w:tcPr>
          <w:p w14:paraId="020E2762" w14:textId="0637A412" w:rsidR="00671AEB" w:rsidRPr="001C44EC" w:rsidRDefault="00671AEB" w:rsidP="002565C3">
            <w:pPr>
              <w:rPr>
                <w:sz w:val="18"/>
                <w:szCs w:val="18"/>
              </w:rPr>
            </w:pPr>
            <w:r w:rsidRPr="001C44EC">
              <w:rPr>
                <w:sz w:val="18"/>
                <w:szCs w:val="18"/>
              </w:rPr>
              <w:t xml:space="preserve">Amy </w:t>
            </w:r>
            <w:r w:rsidR="002565C3">
              <w:rPr>
                <w:sz w:val="18"/>
                <w:szCs w:val="18"/>
              </w:rPr>
              <w:t>Martin</w:t>
            </w:r>
            <w:r w:rsidRPr="001C44EC">
              <w:rPr>
                <w:sz w:val="18"/>
                <w:szCs w:val="18"/>
              </w:rPr>
              <w:t xml:space="preserve"> will review and reply to coordination requests made via the ESS Projects email.</w:t>
            </w:r>
          </w:p>
        </w:tc>
      </w:tr>
      <w:tr w:rsidR="00671AEB" w:rsidRPr="00B672FE" w14:paraId="39574C07" w14:textId="77777777" w:rsidTr="00A935E9">
        <w:trPr>
          <w:cantSplit/>
          <w:trHeight w:val="1104"/>
        </w:trPr>
        <w:tc>
          <w:tcPr>
            <w:tcW w:w="1185" w:type="dxa"/>
            <w:shd w:val="clear" w:color="auto" w:fill="auto"/>
            <w:noWrap/>
            <w:vAlign w:val="center"/>
          </w:tcPr>
          <w:p w14:paraId="2E0F61C5" w14:textId="77777777" w:rsidR="00671AEB" w:rsidRPr="001C44EC" w:rsidRDefault="00671AEB" w:rsidP="00671AEB">
            <w:pPr>
              <w:rPr>
                <w:sz w:val="18"/>
                <w:szCs w:val="18"/>
              </w:rPr>
            </w:pPr>
            <w:r>
              <w:rPr>
                <w:sz w:val="18"/>
                <w:szCs w:val="18"/>
              </w:rPr>
              <w:t>Maryland Department of the Environment</w:t>
            </w:r>
          </w:p>
        </w:tc>
        <w:tc>
          <w:tcPr>
            <w:tcW w:w="1800" w:type="dxa"/>
            <w:shd w:val="clear" w:color="auto" w:fill="auto"/>
            <w:vAlign w:val="center"/>
          </w:tcPr>
          <w:p w14:paraId="1F268149" w14:textId="77777777" w:rsidR="00671AEB" w:rsidRPr="001C44EC" w:rsidRDefault="00671AEB" w:rsidP="00671AEB">
            <w:pPr>
              <w:rPr>
                <w:sz w:val="18"/>
                <w:szCs w:val="18"/>
              </w:rPr>
            </w:pPr>
          </w:p>
        </w:tc>
        <w:tc>
          <w:tcPr>
            <w:tcW w:w="2880" w:type="dxa"/>
            <w:shd w:val="clear" w:color="auto" w:fill="auto"/>
            <w:vAlign w:val="center"/>
          </w:tcPr>
          <w:p w14:paraId="233A8245" w14:textId="77777777" w:rsidR="00671AEB" w:rsidRDefault="00671AEB" w:rsidP="00671AEB"/>
        </w:tc>
        <w:tc>
          <w:tcPr>
            <w:tcW w:w="2880" w:type="dxa"/>
            <w:shd w:val="clear" w:color="auto" w:fill="auto"/>
            <w:noWrap/>
            <w:vAlign w:val="center"/>
          </w:tcPr>
          <w:p w14:paraId="16A4661D" w14:textId="77777777" w:rsidR="00671AEB" w:rsidRPr="00F774F3" w:rsidRDefault="00671AEB" w:rsidP="00671AEB">
            <w:pPr>
              <w:rPr>
                <w:sz w:val="18"/>
                <w:szCs w:val="18"/>
              </w:rPr>
            </w:pPr>
            <w:r w:rsidRPr="00F774F3">
              <w:rPr>
                <w:sz w:val="18"/>
                <w:szCs w:val="18"/>
              </w:rPr>
              <w:t>For VWP Permits sought by Virginia users of the Potomac River, the Maryland Department of Environment must be furnished copies of the applications and as an "interested and affected agency" must be consulted in the same manner as are Virginia agencies.</w:t>
            </w:r>
          </w:p>
          <w:p w14:paraId="3BEE203B" w14:textId="77777777" w:rsidR="00671AEB" w:rsidRPr="001C44EC" w:rsidRDefault="00671AEB" w:rsidP="00671AEB">
            <w:pPr>
              <w:rPr>
                <w:sz w:val="18"/>
                <w:szCs w:val="18"/>
              </w:rPr>
            </w:pPr>
          </w:p>
        </w:tc>
      </w:tr>
    </w:tbl>
    <w:p w14:paraId="650C8527" w14:textId="77777777" w:rsidR="00A11246" w:rsidRDefault="00A11246" w:rsidP="00535EF0"/>
    <w:p w14:paraId="42E9A083" w14:textId="77777777" w:rsidR="003F7DBE" w:rsidRDefault="003F7DBE" w:rsidP="003F7DBE">
      <w:pPr>
        <w:jc w:val="both"/>
      </w:pPr>
      <w:r>
        <w:t>If an application involves a surface water withdrawal, it should be copied to the Water Withdrawal Permitting Program immediately. In cases where VWP permits are being sought by Virginia users of the Potomac and other interstate waters, the applicable state or governmental agency with jurisdiction over the affected waters shall be provided copies of the application for full coordination, as dependent on the location of the project and the affected entity.</w:t>
      </w:r>
    </w:p>
    <w:p w14:paraId="17BFA792" w14:textId="77777777" w:rsidR="003F7DBE" w:rsidRDefault="003F7DBE" w:rsidP="00C332D6">
      <w:pPr>
        <w:pStyle w:val="Heading4"/>
      </w:pPr>
      <w:r>
        <w:t>5.7.1.1 Timelines</w:t>
      </w:r>
    </w:p>
    <w:p w14:paraId="2E8C47AF" w14:textId="6BC938E1" w:rsidR="003F7DBE" w:rsidRDefault="003F7DBE" w:rsidP="003F7DBE">
      <w:pPr>
        <w:jc w:val="both"/>
      </w:pPr>
      <w:r>
        <w:t xml:space="preserve">For VWP individual permits, </w:t>
      </w:r>
      <w:r w:rsidRPr="00680375">
        <w:t xml:space="preserve">coordination with state </w:t>
      </w:r>
      <w:r>
        <w:t xml:space="preserve">resource and other interested and affected </w:t>
      </w:r>
      <w:r w:rsidRPr="00680375">
        <w:t>agencies should occur as soon as possible after the application has been received.</w:t>
      </w:r>
      <w:r>
        <w:t xml:space="preserve"> Agency</w:t>
      </w:r>
      <w:r w:rsidRPr="00D9523F">
        <w:t xml:space="preserve"> coordination is often conducted concurrently with the riparian </w:t>
      </w:r>
      <w:r w:rsidR="00316CC6">
        <w:t>property owner</w:t>
      </w:r>
      <w:r w:rsidR="00316CC6" w:rsidRPr="00D9523F">
        <w:t xml:space="preserve"> </w:t>
      </w:r>
      <w:r w:rsidRPr="00D9523F">
        <w:t>and local government notifications.</w:t>
      </w:r>
    </w:p>
    <w:p w14:paraId="56A6CE87" w14:textId="77777777" w:rsidR="003F7DBE" w:rsidRDefault="003F7DBE" w:rsidP="003F7DBE">
      <w:pPr>
        <w:jc w:val="both"/>
      </w:pPr>
      <w:r>
        <w:t xml:space="preserve">Coordination should occur within 45 days from the date of the request to an agency to provide comments (§ </w:t>
      </w:r>
      <w:hyperlink r:id="rId61" w:history="1">
        <w:r w:rsidRPr="00E44DA8">
          <w:rPr>
            <w:rStyle w:val="Hyperlink"/>
          </w:rPr>
          <w:t>62.1-44.15:20</w:t>
        </w:r>
      </w:hyperlink>
      <w:r>
        <w:t xml:space="preserve">.C). The 45-day period is counted from application complete (APCP), or on the day the DEQ request for comments was sent, whichever occurs first. If DEQ receives agency comments after the allowed time period, VWP permit staff may use discretion on incorporating any resulting permit conditions. If the inclusion of one or more conditions will not interrupt or delay the issuance process, VWP permit staff are encouraged to include any necessary conditions, such as a threatened or endangered species time-of-year restriction condition. If the administrative process is too far along where such consideration would cause interruption or delay – for example, during the public notice and comment period - the inclusion of conditions may not be warranted. Discuss these situations on a case-by-case basis with the VWP Regional Manager, and always copy applicants on any comments received late. </w:t>
      </w:r>
    </w:p>
    <w:p w14:paraId="584DF598" w14:textId="77777777" w:rsidR="003F7DBE" w:rsidRDefault="003F7DBE" w:rsidP="00C332D6">
      <w:pPr>
        <w:pStyle w:val="Heading4"/>
      </w:pPr>
      <w:r>
        <w:t>5.7.1.2 Comments</w:t>
      </w:r>
    </w:p>
    <w:p w14:paraId="41D3BF48" w14:textId="77777777" w:rsidR="003F7DBE" w:rsidRDefault="003F7DBE" w:rsidP="003F7DBE">
      <w:pPr>
        <w:jc w:val="both"/>
      </w:pPr>
      <w:r>
        <w:t>The comments received from commenting</w:t>
      </w:r>
      <w:r w:rsidRPr="009E1CFF">
        <w:t xml:space="preserve"> </w:t>
      </w:r>
      <w:r>
        <w:t>agencies in a timely manner must receive full consideration prior to any proposed VWP individual permit action, including the public notice of the draft permit. Comments regarding listed threatened or endangered species issues must be resolved before issuance of a VWP permit, and ideally prior to any public notice.</w:t>
      </w:r>
    </w:p>
    <w:p w14:paraId="735DF8AE" w14:textId="77777777" w:rsidR="003F7DBE" w:rsidRDefault="003F7DBE" w:rsidP="003F7DBE">
      <w:pPr>
        <w:jc w:val="both"/>
      </w:pPr>
      <w:r w:rsidRPr="00826AD5">
        <w:t xml:space="preserve">DEQ </w:t>
      </w:r>
      <w:r>
        <w:t xml:space="preserve">permitting actions cannot result in a take of </w:t>
      </w:r>
      <w:r w:rsidRPr="00AC1272">
        <w:t>state</w:t>
      </w:r>
      <w:r>
        <w:t xml:space="preserve"> listed threatened and endangered species or designated critical habitat. The VWP individual permit IP Special Conditions template contains a condition </w:t>
      </w:r>
      <w:r>
        <w:lastRenderedPageBreak/>
        <w:t>that addresses this statutory mandate.</w:t>
      </w:r>
      <w:r w:rsidRPr="00275F3B">
        <w:t xml:space="preserve"> </w:t>
      </w:r>
      <w:r>
        <w:t>See specific information on the Canebrake rattlesnake and other species in the Chapter 5 References subfolder.</w:t>
      </w:r>
    </w:p>
    <w:p w14:paraId="771A2F02" w14:textId="77777777" w:rsidR="003F7DBE" w:rsidRDefault="003F7DBE" w:rsidP="003F7DBE">
      <w:pPr>
        <w:jc w:val="both"/>
      </w:pPr>
      <w:r>
        <w:t xml:space="preserve">Although agencies may provide additional information or comments regarding migratory birds, natural area preserves, Stream Conservation Units (SCUs), stormwater or other issues, DEQ considers those comments only as they are relevant to listed threatened or endangered species. </w:t>
      </w:r>
      <w:r w:rsidRPr="0055522C">
        <w:t>VMRC</w:t>
      </w:r>
      <w:r>
        <w:t xml:space="preserve"> considers the factors listed in </w:t>
      </w:r>
      <w:hyperlink r:id="rId62" w:history="1">
        <w:r w:rsidRPr="00384B59">
          <w:rPr>
            <w:rStyle w:val="Hyperlink"/>
          </w:rPr>
          <w:t>§ 28.2-1205 A</w:t>
        </w:r>
      </w:hyperlink>
      <w:r>
        <w:t xml:space="preserve"> and may submit comments to DEQ on these factors when DEQ is likely to issue a VWP individual permit coverage in non-tidal waters. Forward all such comments received to the applicant for their information, but no response from the applicant is required.</w:t>
      </w:r>
    </w:p>
    <w:p w14:paraId="428A4D0C" w14:textId="77777777" w:rsidR="003F7DBE" w:rsidRDefault="003F7DBE" w:rsidP="003F7DBE">
      <w:pPr>
        <w:jc w:val="both"/>
      </w:pPr>
      <w:r w:rsidRPr="0055522C">
        <w:t>VMRC</w:t>
      </w:r>
      <w:r>
        <w:t xml:space="preserve"> considers the factors listed in </w:t>
      </w:r>
      <w:hyperlink r:id="rId63" w:history="1">
        <w:r w:rsidRPr="00384B59">
          <w:rPr>
            <w:rStyle w:val="Hyperlink"/>
          </w:rPr>
          <w:t>§ 28.2-1205 A</w:t>
        </w:r>
      </w:hyperlink>
      <w:r>
        <w:t xml:space="preserve"> and may submit comments to DEQ on these factors when DEQ is likely to issue a VWP individual permit coverage in non-tidal waters.</w:t>
      </w:r>
    </w:p>
    <w:p w14:paraId="3A86E0BC" w14:textId="4EBA9FCC" w:rsidR="00061343" w:rsidRPr="00535EF0" w:rsidRDefault="003F7DBE" w:rsidP="003F7DBE">
      <w:pPr>
        <w:jc w:val="both"/>
      </w:pPr>
      <w:r>
        <w:t xml:space="preserve">When a state agency recommends contacting a </w:t>
      </w:r>
      <w:r w:rsidRPr="00CB7689">
        <w:rPr>
          <w:i/>
          <w:iCs/>
        </w:rPr>
        <w:t>federal</w:t>
      </w:r>
      <w:r>
        <w:t xml:space="preserve"> agency regarding a threatened or endangered species, DEQ staff should coordinate with the federal agency as requested.</w:t>
      </w:r>
      <w:r>
        <w:rPr>
          <w:rStyle w:val="FootnoteReference"/>
        </w:rPr>
        <w:footnoteReference w:id="8"/>
      </w:r>
    </w:p>
    <w:p w14:paraId="52E52988" w14:textId="77777777" w:rsidR="005422C4" w:rsidRDefault="00AA054B" w:rsidP="005422C4">
      <w:pPr>
        <w:pStyle w:val="Heading3"/>
      </w:pPr>
      <w:bookmarkStart w:id="30" w:name="_Toc536434598"/>
      <w:bookmarkStart w:id="31" w:name="_Toc179189543"/>
      <w:r>
        <w:t>5.7.2 Coordination with Federal Agencies</w:t>
      </w:r>
      <w:bookmarkEnd w:id="30"/>
      <w:bookmarkEnd w:id="31"/>
    </w:p>
    <w:p w14:paraId="739ADC26" w14:textId="77777777" w:rsidR="003A5C84" w:rsidRDefault="003A5C84" w:rsidP="003A5C84">
      <w:pPr>
        <w:jc w:val="both"/>
      </w:pPr>
      <w:bookmarkStart w:id="32" w:name="_Toc536434600"/>
      <w:r>
        <w:t>Comments or recommendations made by a federal agency regarding a threatened or endangered species should be addressed by the applicant and/or incorporated as a condition of the permit to the extent possible. Comments received by the various federal agencies should be documented in the permit file.</w:t>
      </w:r>
      <w:r>
        <w:rPr>
          <w:rStyle w:val="FootnoteReference"/>
        </w:rPr>
        <w:footnoteReference w:id="9"/>
      </w:r>
      <w:r>
        <w:t xml:space="preserve"> While DEQ is legally mandated to protect </w:t>
      </w:r>
      <w:r w:rsidRPr="000E6A2F">
        <w:rPr>
          <w:i/>
        </w:rPr>
        <w:t>state</w:t>
      </w:r>
      <w:r>
        <w:t xml:space="preserve"> listed threatened and endangered (T-E) species, or designated critical habitat when making permit decisions, the USFWS should be consulted when any activity may result in an adverse impact to a federally listed T-E species, as identified by VDWR.  Coordination with the USFWS should be emailed to the Service’s Virginia Field </w:t>
      </w:r>
      <w:r w:rsidRPr="008F07EB">
        <w:t xml:space="preserve">Office: </w:t>
      </w:r>
      <w:hyperlink r:id="rId64" w:history="1">
        <w:r w:rsidRPr="003F14F3">
          <w:rPr>
            <w:rStyle w:val="Hyperlink"/>
          </w:rPr>
          <w:t>virginiafieldoffice@fws.gov</w:t>
        </w:r>
      </w:hyperlink>
      <w:r w:rsidRPr="008F07EB">
        <w:t>.</w:t>
      </w:r>
      <w:r>
        <w:t xml:space="preserve"> Any comments requesting surveys for the presence of, or suitable habitat for, threatened or endangered species within the project boundaries, or other</w:t>
      </w:r>
      <w:r w:rsidRPr="00D5572F">
        <w:t xml:space="preserve"> </w:t>
      </w:r>
      <w:r>
        <w:t>types of comments, such as time-of-year restrictions (TOYR) for anadromous fish, should be considered and conveyed to the applicant, and may be incorporated into the individual permit conditions.</w:t>
      </w:r>
      <w:r>
        <w:rPr>
          <w:rStyle w:val="FootnoteReference"/>
        </w:rPr>
        <w:footnoteReference w:id="10"/>
      </w:r>
    </w:p>
    <w:p w14:paraId="16FC8BCD" w14:textId="77777777" w:rsidR="003A5C84" w:rsidRDefault="003A5C84" w:rsidP="003A5C84">
      <w:pPr>
        <w:jc w:val="both"/>
      </w:pPr>
      <w:r>
        <w:t>Staff is encouraged to coordinate closely with the USACE should the agency also be asserting jurisdiction over the proposed project, especially if the USACE is issuing an individual permit.</w:t>
      </w:r>
      <w:r w:rsidRPr="00275F3B">
        <w:t xml:space="preserve"> </w:t>
      </w:r>
      <w:r>
        <w:t xml:space="preserve">The </w:t>
      </w:r>
      <w:r w:rsidRPr="00E72210">
        <w:t>goal of coordination</w:t>
      </w:r>
      <w:r>
        <w:t xml:space="preserve"> with the USACE</w:t>
      </w:r>
      <w:r w:rsidRPr="00E72210">
        <w:t xml:space="preserve"> is to </w:t>
      </w:r>
      <w:r>
        <w:t xml:space="preserve">align the </w:t>
      </w:r>
      <w:r w:rsidRPr="00E72210">
        <w:t xml:space="preserve">conditions in the VWP individual permit and </w:t>
      </w:r>
      <w:r>
        <w:t>any USACE-issued</w:t>
      </w:r>
      <w:r w:rsidRPr="00E72210">
        <w:t xml:space="preserve"> permit </w:t>
      </w:r>
      <w:r>
        <w:t xml:space="preserve">and to avoid </w:t>
      </w:r>
      <w:r w:rsidRPr="00E72210">
        <w:t>contradict</w:t>
      </w:r>
      <w:r>
        <w:t>ion</w:t>
      </w:r>
      <w:r w:rsidRPr="00E72210">
        <w:t xml:space="preserve">, </w:t>
      </w:r>
      <w:r>
        <w:t>provided that the conditions meet state laws and regulations.</w:t>
      </w:r>
    </w:p>
    <w:p w14:paraId="58812776" w14:textId="718C03D2" w:rsidR="00FF08C4" w:rsidRDefault="003A5C84" w:rsidP="003A5C84">
      <w:pPr>
        <w:jc w:val="both"/>
      </w:pPr>
      <w:r>
        <w:t>If a SPGP is being processed simultaneously with the VWP individual permit, federal agency coordination is currently conducted by the USACE. See the SPGP SOP for coordination procedures.</w:t>
      </w:r>
    </w:p>
    <w:p w14:paraId="5FFAD241" w14:textId="77777777" w:rsidR="00635761" w:rsidRDefault="00635761" w:rsidP="00635761">
      <w:pPr>
        <w:pStyle w:val="Heading2"/>
      </w:pPr>
      <w:bookmarkStart w:id="33" w:name="_Toc179189544"/>
      <w:r>
        <w:t>5.8 Draft Permit</w:t>
      </w:r>
      <w:bookmarkEnd w:id="33"/>
    </w:p>
    <w:p w14:paraId="3460DF21" w14:textId="1572CBE5" w:rsidR="00B13266" w:rsidRDefault="000A14CF" w:rsidP="00B13266">
      <w:pPr>
        <w:jc w:val="both"/>
      </w:pPr>
      <w:r w:rsidRPr="000A14CF">
        <w:t xml:space="preserve"> </w:t>
      </w:r>
      <w:r w:rsidRPr="00737B12">
        <w:t xml:space="preserve">A </w:t>
      </w:r>
      <w:r>
        <w:t>D</w:t>
      </w:r>
      <w:r w:rsidRPr="00C22064">
        <w:t>raft</w:t>
      </w:r>
      <w:r>
        <w:t xml:space="preserve"> I</w:t>
      </w:r>
      <w:r w:rsidRPr="00C22064">
        <w:t xml:space="preserve">ndividual </w:t>
      </w:r>
      <w:r>
        <w:t>P</w:t>
      </w:r>
      <w:r w:rsidRPr="00C22064">
        <w:t xml:space="preserve">ermit </w:t>
      </w:r>
      <w:r w:rsidRPr="00737B12">
        <w:t xml:space="preserve">may be developed as early as reasonable </w:t>
      </w:r>
      <w:r>
        <w:t>after an application is complete and adequate technical information is obtained to draft permit terms and conditions</w:t>
      </w:r>
      <w:r w:rsidRPr="00737B12">
        <w:t xml:space="preserve">.  </w:t>
      </w:r>
      <w:r>
        <w:t xml:space="preserve">For example, </w:t>
      </w:r>
      <w:r w:rsidRPr="00737B12">
        <w:t xml:space="preserve">staff should </w:t>
      </w:r>
      <w:r w:rsidRPr="004754BE">
        <w:t xml:space="preserve">compile the </w:t>
      </w:r>
      <w:r>
        <w:t>D</w:t>
      </w:r>
      <w:r w:rsidRPr="00C22064">
        <w:t>raft</w:t>
      </w:r>
      <w:r>
        <w:t xml:space="preserve"> I</w:t>
      </w:r>
      <w:r w:rsidRPr="00C22064">
        <w:t xml:space="preserve">ndividual </w:t>
      </w:r>
      <w:r>
        <w:t>P</w:t>
      </w:r>
      <w:r w:rsidRPr="00C22064">
        <w:t>ermit package</w:t>
      </w:r>
      <w:r w:rsidRPr="004754BE">
        <w:t xml:space="preserve"> for the applicant’s review</w:t>
      </w:r>
      <w:r w:rsidRPr="00737B12">
        <w:t xml:space="preserve"> </w:t>
      </w:r>
      <w:r>
        <w:t>a</w:t>
      </w:r>
      <w:r w:rsidRPr="00737B12">
        <w:t xml:space="preserve">fter all coordination is completed with the commenting agencies; </w:t>
      </w:r>
      <w:r>
        <w:t xml:space="preserve">after </w:t>
      </w:r>
      <w:r w:rsidRPr="00737B12">
        <w:t xml:space="preserve">staff has concluded that the proposed impacts have been </w:t>
      </w:r>
      <w:r w:rsidRPr="00737B12">
        <w:lastRenderedPageBreak/>
        <w:t xml:space="preserve">avoided and minimized to the maximum extent practicable; and </w:t>
      </w:r>
      <w:r>
        <w:t xml:space="preserve">after </w:t>
      </w:r>
      <w:r w:rsidRPr="00737B12">
        <w:t>the</w:t>
      </w:r>
      <w:r>
        <w:t xml:space="preserve"> draft</w:t>
      </w:r>
      <w:r w:rsidRPr="00737B12">
        <w:t xml:space="preserve"> </w:t>
      </w:r>
      <w:r w:rsidR="00864BBC">
        <w:t>concept</w:t>
      </w:r>
      <w:r w:rsidR="00A74D6B">
        <w:t>ual</w:t>
      </w:r>
      <w:r w:rsidR="00864BBC">
        <w:t xml:space="preserve"> </w:t>
      </w:r>
      <w:r w:rsidRPr="00737B12">
        <w:t xml:space="preserve">compensation plan is </w:t>
      </w:r>
      <w:r>
        <w:t>approved</w:t>
      </w:r>
      <w:r w:rsidRPr="00755276">
        <w:t>.</w:t>
      </w:r>
      <w:r w:rsidR="00B13266">
        <w:t xml:space="preserve">  </w:t>
      </w:r>
    </w:p>
    <w:p w14:paraId="035CD4D3" w14:textId="34CF987F" w:rsidR="00B13266" w:rsidRDefault="00B13266" w:rsidP="00B13266">
      <w:pPr>
        <w:jc w:val="both"/>
      </w:pPr>
      <w:r>
        <w:t xml:space="preserve">The Draft </w:t>
      </w:r>
      <w:r w:rsidR="000A14CF">
        <w:t xml:space="preserve">Individual </w:t>
      </w:r>
      <w:r>
        <w:t xml:space="preserve">Permit </w:t>
      </w:r>
      <w:r w:rsidR="000A14CF">
        <w:t>p</w:t>
      </w:r>
      <w:r>
        <w:t>ackage consists of the following items, as detailed in the sections below:</w:t>
      </w:r>
    </w:p>
    <w:p w14:paraId="1B5D6258" w14:textId="1A548476" w:rsidR="00B13266" w:rsidRPr="001B13A9" w:rsidRDefault="00CB7465" w:rsidP="00B13266">
      <w:pPr>
        <w:pStyle w:val="ListParagraph"/>
        <w:numPr>
          <w:ilvl w:val="0"/>
          <w:numId w:val="13"/>
        </w:numPr>
        <w:rPr>
          <w:sz w:val="22"/>
          <w:szCs w:val="22"/>
        </w:rPr>
      </w:pPr>
      <w:r>
        <w:rPr>
          <w:sz w:val="22"/>
          <w:szCs w:val="22"/>
        </w:rPr>
        <w:t xml:space="preserve">Draft </w:t>
      </w:r>
      <w:r w:rsidR="00B13266" w:rsidRPr="001B13A9">
        <w:rPr>
          <w:sz w:val="22"/>
          <w:szCs w:val="22"/>
        </w:rPr>
        <w:t>Fact Sheet</w:t>
      </w:r>
    </w:p>
    <w:p w14:paraId="68928C94" w14:textId="77777777" w:rsidR="00B13266" w:rsidRPr="001B13A9" w:rsidRDefault="00B13266" w:rsidP="00B13266">
      <w:pPr>
        <w:pStyle w:val="ListParagraph"/>
        <w:numPr>
          <w:ilvl w:val="0"/>
          <w:numId w:val="13"/>
        </w:numPr>
        <w:rPr>
          <w:sz w:val="22"/>
          <w:szCs w:val="22"/>
        </w:rPr>
      </w:pPr>
      <w:r w:rsidRPr="001B13A9">
        <w:rPr>
          <w:sz w:val="22"/>
          <w:szCs w:val="22"/>
        </w:rPr>
        <w:t>Permit Cover Page</w:t>
      </w:r>
    </w:p>
    <w:p w14:paraId="5927F5F6" w14:textId="5785FB79" w:rsidR="00B13266" w:rsidRPr="001B13A9" w:rsidRDefault="000A14CF" w:rsidP="00B13266">
      <w:pPr>
        <w:pStyle w:val="ListParagraph"/>
        <w:numPr>
          <w:ilvl w:val="0"/>
          <w:numId w:val="13"/>
        </w:numPr>
        <w:rPr>
          <w:sz w:val="22"/>
          <w:szCs w:val="22"/>
        </w:rPr>
      </w:pPr>
      <w:r>
        <w:rPr>
          <w:sz w:val="22"/>
          <w:szCs w:val="22"/>
        </w:rPr>
        <w:t xml:space="preserve">Draft </w:t>
      </w:r>
      <w:r w:rsidR="00B13266" w:rsidRPr="001B13A9">
        <w:rPr>
          <w:sz w:val="22"/>
          <w:szCs w:val="22"/>
        </w:rPr>
        <w:t>Part I - Special Conditions</w:t>
      </w:r>
    </w:p>
    <w:p w14:paraId="6D13C34B" w14:textId="77777777" w:rsidR="00B13266" w:rsidRPr="001B13A9" w:rsidRDefault="00B13266" w:rsidP="00B13266">
      <w:pPr>
        <w:pStyle w:val="ListParagraph"/>
        <w:numPr>
          <w:ilvl w:val="0"/>
          <w:numId w:val="13"/>
        </w:numPr>
        <w:rPr>
          <w:sz w:val="22"/>
          <w:szCs w:val="22"/>
        </w:rPr>
      </w:pPr>
      <w:r w:rsidRPr="001B13A9">
        <w:rPr>
          <w:sz w:val="22"/>
          <w:szCs w:val="22"/>
        </w:rPr>
        <w:t>Part II - General Conditions</w:t>
      </w:r>
    </w:p>
    <w:p w14:paraId="2A3807CA" w14:textId="5DC1FC6C" w:rsidR="00B13266" w:rsidRDefault="000A14CF" w:rsidP="00B13266">
      <w:pPr>
        <w:pStyle w:val="ListParagraph"/>
        <w:numPr>
          <w:ilvl w:val="0"/>
          <w:numId w:val="13"/>
        </w:numPr>
        <w:rPr>
          <w:sz w:val="22"/>
          <w:szCs w:val="22"/>
        </w:rPr>
      </w:pPr>
      <w:r>
        <w:rPr>
          <w:sz w:val="22"/>
          <w:szCs w:val="22"/>
        </w:rPr>
        <w:t xml:space="preserve">Draft </w:t>
      </w:r>
      <w:r w:rsidR="00B13266" w:rsidRPr="001B13A9">
        <w:rPr>
          <w:sz w:val="22"/>
          <w:szCs w:val="22"/>
        </w:rPr>
        <w:t>Public Notice and Public Notice Verification Form</w:t>
      </w:r>
    </w:p>
    <w:p w14:paraId="428F8775" w14:textId="5A2D3160" w:rsidR="00B13266" w:rsidRPr="00B13266" w:rsidRDefault="00B13266" w:rsidP="00B13266">
      <w:pPr>
        <w:pStyle w:val="ListParagraph"/>
        <w:numPr>
          <w:ilvl w:val="0"/>
          <w:numId w:val="13"/>
        </w:numPr>
        <w:rPr>
          <w:sz w:val="22"/>
          <w:szCs w:val="22"/>
        </w:rPr>
      </w:pPr>
      <w:r w:rsidRPr="001B13A9">
        <w:rPr>
          <w:sz w:val="22"/>
          <w:szCs w:val="22"/>
        </w:rPr>
        <w:t>Transmittal Letter</w:t>
      </w:r>
      <w:r w:rsidR="000A14CF">
        <w:rPr>
          <w:sz w:val="22"/>
          <w:szCs w:val="22"/>
        </w:rPr>
        <w:t xml:space="preserve"> for the </w:t>
      </w:r>
      <w:r w:rsidR="009527E9">
        <w:rPr>
          <w:sz w:val="22"/>
          <w:szCs w:val="22"/>
        </w:rPr>
        <w:t>Draft Individual Permit and Public Notice</w:t>
      </w:r>
    </w:p>
    <w:p w14:paraId="174C5A64" w14:textId="06BECD5B" w:rsidR="00535EF0" w:rsidRDefault="00535EF0" w:rsidP="00936CCE">
      <w:pPr>
        <w:pStyle w:val="Heading3"/>
        <w:keepNext w:val="0"/>
        <w:keepLines w:val="0"/>
      </w:pPr>
      <w:bookmarkStart w:id="34" w:name="_Toc179189545"/>
      <w:r>
        <w:t>5.8.1 Fact Sheet</w:t>
      </w:r>
      <w:bookmarkEnd w:id="32"/>
      <w:bookmarkEnd w:id="34"/>
    </w:p>
    <w:p w14:paraId="67345B5C" w14:textId="6DB7F0BD" w:rsidR="00B13266" w:rsidRPr="000D7887" w:rsidRDefault="00B13266" w:rsidP="00247418">
      <w:pPr>
        <w:jc w:val="both"/>
      </w:pPr>
      <w:r>
        <w:t xml:space="preserve">The Fact Sheet provides a written record of the </w:t>
      </w:r>
      <w:r w:rsidR="00F51524">
        <w:t>decision</w:t>
      </w:r>
      <w:r>
        <w:t xml:space="preserve"> </w:t>
      </w:r>
      <w:r w:rsidRPr="00A74D6B">
        <w:t xml:space="preserve">process, </w:t>
      </w:r>
      <w:r w:rsidR="004233D8" w:rsidRPr="00A74D6B">
        <w:t xml:space="preserve">from the application phase through the final permit decision by the </w:t>
      </w:r>
      <w:r w:rsidR="00A57193">
        <w:t>department</w:t>
      </w:r>
      <w:r w:rsidR="004233D8" w:rsidRPr="00A74D6B">
        <w:t xml:space="preserve">, </w:t>
      </w:r>
      <w:r w:rsidRPr="00A74D6B">
        <w:t>as well as</w:t>
      </w:r>
      <w:r>
        <w:t xml:space="preserve"> the basis for the </w:t>
      </w:r>
      <w:r w:rsidR="00A57193">
        <w:t>department</w:t>
      </w:r>
      <w:r>
        <w:t xml:space="preserve">’s </w:t>
      </w:r>
      <w:r w:rsidR="009527E9">
        <w:t xml:space="preserve">terms and conditions and final </w:t>
      </w:r>
      <w:r>
        <w:t xml:space="preserve">permit decision.  The Fact Sheet documents that all statutory and regulatory requirements of the program were met. Accordingly, it includes details regarding the proposed project; the application review process; regulatory agency and public notification and comments; </w:t>
      </w:r>
      <w:r w:rsidR="00377B74">
        <w:t xml:space="preserve">description of the proposed or authorized impacts, including those from building or developing a permittee responsible mitigation site, when applicable; </w:t>
      </w:r>
      <w:r>
        <w:t xml:space="preserve">description of mitigation (i.e., how </w:t>
      </w:r>
      <w:r w:rsidR="00377B74">
        <w:t xml:space="preserve">all project </w:t>
      </w:r>
      <w:r>
        <w:t>impacts to existing beneficial uses were avoided and minimized</w:t>
      </w:r>
      <w:r w:rsidR="009B0C7B">
        <w:t xml:space="preserve"> and</w:t>
      </w:r>
      <w:r>
        <w:t xml:space="preserve"> how unavoidable impacts were compensated); the rationale for the conditions included in the VWP individual permit; any additional, useful or pertinent information; and the staff recommendation for the permit decision.</w:t>
      </w:r>
    </w:p>
    <w:p w14:paraId="17F554E2" w14:textId="77777777" w:rsidR="000D7887" w:rsidRPr="00A53394" w:rsidRDefault="000D7887" w:rsidP="00247418">
      <w:pPr>
        <w:jc w:val="both"/>
      </w:pPr>
      <w:r w:rsidRPr="00164D32">
        <w:t>Use the most recent Fact Sheet template(s) in the VWP Permit &amp; Compliance Manual. The Fact Sheet is not signed.</w:t>
      </w:r>
    </w:p>
    <w:p w14:paraId="39C60EC2" w14:textId="31D75ABB" w:rsidR="000D7887" w:rsidRPr="00164D32" w:rsidRDefault="000D7887" w:rsidP="00247418">
      <w:pPr>
        <w:jc w:val="both"/>
      </w:pPr>
      <w:r w:rsidRPr="00A53394">
        <w:t xml:space="preserve">One Fact Sheet should be prepared for </w:t>
      </w:r>
      <w:r w:rsidRPr="00A53394">
        <w:rPr>
          <w:i/>
        </w:rPr>
        <w:t>each</w:t>
      </w:r>
      <w:r w:rsidRPr="00A53394">
        <w:t xml:space="preserve"> final IP case decision or action (i.e., one for an IP Issuance, another if the IP is modified after issuance, another if the IP is modified again after a previous modification, another if the IP is reissued for any reason, etc.). </w:t>
      </w:r>
      <w:r w:rsidR="00164D32">
        <w:t xml:space="preserve">The Fact Sheet is a working document that </w:t>
      </w:r>
      <w:r w:rsidRPr="00164D32">
        <w:t>continues to be revised up to the point of the final decision.</w:t>
      </w:r>
    </w:p>
    <w:p w14:paraId="44C2C530" w14:textId="19A05D78" w:rsidR="000D7887" w:rsidRPr="000D7887" w:rsidRDefault="000D7887" w:rsidP="00247418">
      <w:pPr>
        <w:jc w:val="both"/>
      </w:pPr>
      <w:r w:rsidRPr="008F2833">
        <w:t>The Fact Sheet</w:t>
      </w:r>
      <w:r w:rsidR="007E57EE">
        <w:t xml:space="preserve"> for</w:t>
      </w:r>
      <w:r w:rsidRPr="00164D32">
        <w:t xml:space="preserve"> </w:t>
      </w:r>
      <w:r w:rsidR="007E57EE" w:rsidRPr="00AE7027">
        <w:t>draft individual permit or draft major modification</w:t>
      </w:r>
      <w:r w:rsidR="007E57EE">
        <w:t xml:space="preserve"> of a permit</w:t>
      </w:r>
      <w:r w:rsidR="007E57EE" w:rsidRPr="00164D32">
        <w:t xml:space="preserve"> </w:t>
      </w:r>
      <w:r w:rsidRPr="00164D32">
        <w:t xml:space="preserve">is provided to the applicant for review. </w:t>
      </w:r>
      <w:r w:rsidR="007E57EE">
        <w:t>T</w:t>
      </w:r>
      <w:r w:rsidRPr="00164D32">
        <w:t xml:space="preserve">he Fact Sheet reflects information </w:t>
      </w:r>
      <w:r w:rsidRPr="00164D32">
        <w:rPr>
          <w:i/>
        </w:rPr>
        <w:t>up to and including</w:t>
      </w:r>
      <w:r w:rsidRPr="00164D32">
        <w:t xml:space="preserve"> this point in the decision timeline, and such information is what the agency has used to</w:t>
      </w:r>
      <w:r w:rsidRPr="008F2833">
        <w:t xml:space="preserve"> develop the draft terms and conditions.</w:t>
      </w:r>
      <w:r>
        <w:t xml:space="preserve"> </w:t>
      </w:r>
      <w:r w:rsidRPr="00164D32">
        <w:t xml:space="preserve">Should the terms and conditions change one or more times as a result of the applicant reviewing a draft individual permit or major modification, the same Fact Sheet will be updated each time accordingly – a ‘working draft’ of the Fact Sheet can be saved to the DEQ server that is overwritten each time such revisions are necessary. </w:t>
      </w:r>
      <w:r w:rsidRPr="00A74D6B">
        <w:rPr>
          <w:b/>
          <w:u w:val="single"/>
        </w:rPr>
        <w:t>Avoid</w:t>
      </w:r>
      <w:r w:rsidRPr="00164D32">
        <w:t xml:space="preserve"> making </w:t>
      </w:r>
      <w:r w:rsidR="00164D32">
        <w:t xml:space="preserve">or keeping </w:t>
      </w:r>
      <w:r w:rsidRPr="00164D32">
        <w:t>separate working draft files (i.e., Draft FSheet [date], Draft FSheet [next new date], Draft FSheet [next new date], etc.). The working draft should be labeled in the document Header with “Draft”</w:t>
      </w:r>
      <w:r w:rsidR="000278B4">
        <w:t xml:space="preserve"> in place of the Date</w:t>
      </w:r>
      <w:r w:rsidRPr="00164D32">
        <w:t>, and the file name should contain the label “Draft”. U</w:t>
      </w:r>
      <w:r w:rsidRPr="000D7887">
        <w:t xml:space="preserve">se of </w:t>
      </w:r>
      <w:r>
        <w:t xml:space="preserve">a </w:t>
      </w:r>
      <w:r w:rsidRPr="000D7887">
        <w:t>watermark</w:t>
      </w:r>
      <w:r>
        <w:t xml:space="preserve"> is</w:t>
      </w:r>
      <w:r w:rsidRPr="000D7887">
        <w:t xml:space="preserve"> optional.</w:t>
      </w:r>
    </w:p>
    <w:p w14:paraId="71F2F918" w14:textId="4B4283F9" w:rsidR="007E57EE" w:rsidRDefault="000D7887" w:rsidP="00247418">
      <w:pPr>
        <w:jc w:val="both"/>
      </w:pPr>
      <w:r w:rsidRPr="000D7887">
        <w:t>Before sending the Fact Sheet to an applicant</w:t>
      </w:r>
      <w:r>
        <w:t>, en</w:t>
      </w:r>
      <w:r w:rsidRPr="000D7887">
        <w:t xml:space="preserve">sure it is marked with a date footer [M/DD/YYYY]. Each time a Fact Sheet is provided to the applicant, upload it to ECM as part of the draft individual permit or modification documentation </w:t>
      </w:r>
      <w:r w:rsidR="00164D32">
        <w:t>with the transmittal document (i.e.</w:t>
      </w:r>
      <w:r w:rsidR="00FE6EBE">
        <w:t>,</w:t>
      </w:r>
      <w:r w:rsidR="00164D32">
        <w:t xml:space="preserve"> email) </w:t>
      </w:r>
      <w:r w:rsidRPr="000D7887">
        <w:t xml:space="preserve">[ECM coding: Retention Schedule = 009550, Document Type = Correspondence &amp; Case History]. </w:t>
      </w:r>
      <w:r>
        <w:t xml:space="preserve">See also </w:t>
      </w:r>
      <w:hyperlink r:id="rId65" w:history="1">
        <w:r w:rsidRPr="000D7887">
          <w:rPr>
            <w:rStyle w:val="Hyperlink"/>
          </w:rPr>
          <w:t>Library of Virginia Records Retention and Disposition Schedule General Schedule 101- 012019</w:t>
        </w:r>
      </w:hyperlink>
      <w:r w:rsidRPr="000D7887">
        <w:t>.</w:t>
      </w:r>
    </w:p>
    <w:p w14:paraId="4E4C6EE2" w14:textId="4FA22429" w:rsidR="007E57EE" w:rsidRPr="00174124" w:rsidRDefault="007E57EE" w:rsidP="00247418">
      <w:pPr>
        <w:jc w:val="both"/>
      </w:pPr>
      <w:r>
        <w:lastRenderedPageBreak/>
        <w:t>Fact Sheets are developed for minor modifications of an individual permit but are not prepared as draft and then final, thus only the final version is sent to the permittee upon the final decision.</w:t>
      </w:r>
    </w:p>
    <w:p w14:paraId="5EA1B8A1" w14:textId="77777777" w:rsidR="00535EF0" w:rsidRDefault="00535EF0" w:rsidP="00936CCE">
      <w:pPr>
        <w:pStyle w:val="Heading3"/>
        <w:keepNext w:val="0"/>
        <w:keepLines w:val="0"/>
      </w:pPr>
      <w:bookmarkStart w:id="35" w:name="_Toc536434601"/>
      <w:bookmarkStart w:id="36" w:name="_Toc179189546"/>
      <w:r>
        <w:t>5.8.2 Permit Cover Page</w:t>
      </w:r>
      <w:bookmarkEnd w:id="35"/>
      <w:bookmarkEnd w:id="36"/>
    </w:p>
    <w:p w14:paraId="7D34DB04" w14:textId="17EC49E2" w:rsidR="00B13266" w:rsidRPr="00B13266" w:rsidRDefault="00B13266" w:rsidP="00B13266">
      <w:pPr>
        <w:jc w:val="both"/>
      </w:pPr>
      <w:r>
        <w:t xml:space="preserve">The </w:t>
      </w:r>
      <w:r w:rsidR="006B7EDF">
        <w:t xml:space="preserve">Individual </w:t>
      </w:r>
      <w:r>
        <w:t>Permit Cover Page</w:t>
      </w:r>
      <w:r w:rsidR="006B7EDF">
        <w:t xml:space="preserve"> (Cover Page)</w:t>
      </w:r>
      <w:r>
        <w:t xml:space="preserve"> includes the permit effective and expiration dates, permittee legal name and corporate address, activity location, a brief description of the authorized activities, impact quantities and compen</w:t>
      </w:r>
      <w:r w:rsidRPr="008F07EB">
        <w:t xml:space="preserve">sation. The Cover Page should be marked </w:t>
      </w:r>
      <w:r w:rsidRPr="008F07EB">
        <w:rPr>
          <w:i/>
        </w:rPr>
        <w:t>“Draft”</w:t>
      </w:r>
      <w:r w:rsidRPr="008F07EB">
        <w:t xml:space="preserve"> at this point in the process and remain unsigned. </w:t>
      </w:r>
      <w:r w:rsidRPr="003F14F3">
        <w:t xml:space="preserve">See Chapter 3 </w:t>
      </w:r>
      <w:r w:rsidRPr="008F07EB">
        <w:t>for instructions in ensuring that the permittee’s legal name and corporate address, as registered with</w:t>
      </w:r>
      <w:r>
        <w:t xml:space="preserve"> Virginia’s State Corporation Commission, is utilized.</w:t>
      </w:r>
    </w:p>
    <w:p w14:paraId="6FC3232F" w14:textId="77777777" w:rsidR="00535EF0" w:rsidRDefault="00535EF0" w:rsidP="00936CCE">
      <w:pPr>
        <w:pStyle w:val="Heading3"/>
        <w:keepNext w:val="0"/>
        <w:keepLines w:val="0"/>
      </w:pPr>
      <w:bookmarkStart w:id="37" w:name="_Toc536434602"/>
      <w:bookmarkStart w:id="38" w:name="_Toc179189547"/>
      <w:r>
        <w:t>5.8.3 Part I – Special Conditions</w:t>
      </w:r>
      <w:bookmarkEnd w:id="37"/>
      <w:bookmarkEnd w:id="38"/>
    </w:p>
    <w:p w14:paraId="2C29B04C" w14:textId="52D8F36E" w:rsidR="00B13266" w:rsidRDefault="00B13266" w:rsidP="00B13266">
      <w:pPr>
        <w:jc w:val="both"/>
      </w:pPr>
      <w:r>
        <w:t xml:space="preserve">The </w:t>
      </w:r>
      <w:r w:rsidR="009B0C7B">
        <w:t xml:space="preserve">Draft </w:t>
      </w:r>
      <w:r>
        <w:t xml:space="preserve">Part I - Special Conditions are project-specific conditions, based primarily on the proposed activity, the impacted waters, and agency comments.  These </w:t>
      </w:r>
      <w:r w:rsidR="009B0C7B">
        <w:t xml:space="preserve">special </w:t>
      </w:r>
      <w:r>
        <w:t>conditions are included in the permit to protect existing beneficial uses; prevent significant impacts to state waters or fish and wildlife resources; ensure authorized impacts to surface waters are performed in a manner that minimizes adverse impacts to the maximum extent practicable; and ensure adequate compensation is provided for all unavoidable impacts.</w:t>
      </w:r>
    </w:p>
    <w:p w14:paraId="565D0E94" w14:textId="4BC8309B" w:rsidR="00B13266" w:rsidRPr="00317BCC" w:rsidRDefault="00B13266" w:rsidP="00B13266">
      <w:pPr>
        <w:jc w:val="both"/>
      </w:pPr>
      <w:r>
        <w:t xml:space="preserve">The sections </w:t>
      </w:r>
      <w:r w:rsidR="00AD115F">
        <w:t>as shown in the most recent Part I – Special Conditions template(s)</w:t>
      </w:r>
      <w:r>
        <w:t xml:space="preserve"> are the major categories that should be in every VWP individual permit.  Within each of these major categories are subcategories of conditions.  Every section of </w:t>
      </w:r>
      <w:r w:rsidR="009B0C7B">
        <w:t xml:space="preserve">the special </w:t>
      </w:r>
      <w:r>
        <w:t xml:space="preserve">conditions, or every </w:t>
      </w:r>
      <w:r w:rsidR="009B0C7B">
        <w:t xml:space="preserve">special </w:t>
      </w:r>
      <w:r>
        <w:t xml:space="preserve">condition in a section, may not apply to the proposed activities, and therefore, some </w:t>
      </w:r>
      <w:r w:rsidR="009B0C7B">
        <w:t xml:space="preserve">special </w:t>
      </w:r>
      <w:r>
        <w:t xml:space="preserve">conditions may need to be altered to reflect project-specific needs, or may be deleted. Part I should only include the </w:t>
      </w:r>
      <w:r w:rsidR="009B0C7B">
        <w:t xml:space="preserve">draft special </w:t>
      </w:r>
      <w:r>
        <w:t>conditions that are pertinent to the project</w:t>
      </w:r>
      <w:r w:rsidR="009B0C7B">
        <w:t xml:space="preserve"> at this phase of processing</w:t>
      </w:r>
      <w:r>
        <w:t xml:space="preserve">, or that could conceivably come up during the project (e.g., do not include dredging special conditions if there is no dredge work being proposed and little if any chance of dredging activities to occur).  Additionally, </w:t>
      </w:r>
      <w:r w:rsidR="009F3FCE">
        <w:t>staff</w:t>
      </w:r>
      <w:r>
        <w:t xml:space="preserve"> may find it necessary to "create" specific </w:t>
      </w:r>
      <w:r w:rsidR="009B0C7B">
        <w:t xml:space="preserve">special </w:t>
      </w:r>
      <w:r>
        <w:t xml:space="preserve">conditions to address site specific </w:t>
      </w:r>
      <w:r w:rsidR="009B0C7B">
        <w:t>circumstances</w:t>
      </w:r>
      <w:r>
        <w:t xml:space="preserve"> or concerns. </w:t>
      </w:r>
    </w:p>
    <w:p w14:paraId="4B051BBB" w14:textId="46CD46C0" w:rsidR="00B13266" w:rsidRPr="00B13266" w:rsidRDefault="00B13266" w:rsidP="00B13266">
      <w:pPr>
        <w:jc w:val="both"/>
      </w:pPr>
      <w:r>
        <w:t xml:space="preserve">These </w:t>
      </w:r>
      <w:r w:rsidR="009B0C7B">
        <w:t xml:space="preserve">special </w:t>
      </w:r>
      <w:r>
        <w:t xml:space="preserve">conditions should be marked “Draft” until such time that </w:t>
      </w:r>
      <w:r w:rsidR="009B0C7B">
        <w:t>a final permit</w:t>
      </w:r>
      <w:r>
        <w:t xml:space="preserve"> is developed.</w:t>
      </w:r>
    </w:p>
    <w:p w14:paraId="1E05B837" w14:textId="77777777" w:rsidR="00535EF0" w:rsidRDefault="00535EF0" w:rsidP="00936CCE">
      <w:pPr>
        <w:pStyle w:val="Heading3"/>
        <w:keepNext w:val="0"/>
        <w:keepLines w:val="0"/>
      </w:pPr>
      <w:bookmarkStart w:id="39" w:name="_Toc536434603"/>
      <w:bookmarkStart w:id="40" w:name="_Toc179189548"/>
      <w:r>
        <w:t>5.8.4 Part II – General Conditions</w:t>
      </w:r>
      <w:bookmarkEnd w:id="39"/>
      <w:bookmarkEnd w:id="40"/>
    </w:p>
    <w:p w14:paraId="5C78E34E" w14:textId="1482337B" w:rsidR="00B13266" w:rsidRPr="00B13266" w:rsidRDefault="00B13266" w:rsidP="00B13266">
      <w:pPr>
        <w:jc w:val="both"/>
      </w:pPr>
      <w:r>
        <w:t xml:space="preserve">The Part II - General Conditions are included in </w:t>
      </w:r>
      <w:r>
        <w:rPr>
          <w:i/>
        </w:rPr>
        <w:t>all</w:t>
      </w:r>
      <w:r>
        <w:t xml:space="preserve"> VWP individual permits in accordance with VWP Permit Program regulation.  Because the conditions are stated in the VWP Permit Program regulation </w:t>
      </w:r>
      <w:hyperlink r:id="rId66" w:history="1">
        <w:r w:rsidRPr="00973C06">
          <w:rPr>
            <w:rStyle w:val="Hyperlink"/>
          </w:rPr>
          <w:t>9VAC25-210</w:t>
        </w:r>
        <w:r w:rsidR="009939CE" w:rsidRPr="00973C06">
          <w:rPr>
            <w:rStyle w:val="Hyperlink"/>
          </w:rPr>
          <w:t xml:space="preserve"> </w:t>
        </w:r>
        <w:r w:rsidR="009939CE" w:rsidRPr="00973C06">
          <w:rPr>
            <w:rStyle w:val="Hyperlink"/>
            <w:i/>
          </w:rPr>
          <w:t>et seq</w:t>
        </w:r>
      </w:hyperlink>
      <w:r w:rsidR="009939CE">
        <w:rPr>
          <w:i/>
        </w:rPr>
        <w:t>.</w:t>
      </w:r>
      <w:r>
        <w:t xml:space="preserve">, </w:t>
      </w:r>
      <w:r>
        <w:rPr>
          <w:i/>
        </w:rPr>
        <w:t>do not revise the General Conditions</w:t>
      </w:r>
      <w:r w:rsidR="009B0C7B">
        <w:rPr>
          <w:i/>
        </w:rPr>
        <w:t xml:space="preserve"> or mark them as “Draft”</w:t>
      </w:r>
      <w:r>
        <w:t>.</w:t>
      </w:r>
    </w:p>
    <w:p w14:paraId="24B5128F" w14:textId="77777777" w:rsidR="00535EF0" w:rsidRDefault="00535EF0" w:rsidP="00936CCE">
      <w:pPr>
        <w:pStyle w:val="Heading3"/>
        <w:keepNext w:val="0"/>
        <w:keepLines w:val="0"/>
      </w:pPr>
      <w:bookmarkStart w:id="41" w:name="_Toc536434604"/>
      <w:bookmarkStart w:id="42" w:name="_Toc179189549"/>
      <w:r>
        <w:t>5.8.5 Public Notice and Public Notice Verification Form</w:t>
      </w:r>
      <w:bookmarkEnd w:id="41"/>
      <w:bookmarkEnd w:id="42"/>
    </w:p>
    <w:p w14:paraId="5195CF04" w14:textId="6093619C" w:rsidR="00B13266" w:rsidRDefault="00B13266" w:rsidP="00B13266">
      <w:pPr>
        <w:jc w:val="both"/>
      </w:pPr>
      <w:r>
        <w:t>The Public Notice provides a summary of the proposed impacts</w:t>
      </w:r>
      <w:r w:rsidR="00981BDC">
        <w:t xml:space="preserve"> (permanent and temporary by Cowardin classification)</w:t>
      </w:r>
      <w:r>
        <w:t xml:space="preserve"> and compensation activities.  The public notice template should not be changed beyond entering the project specific information in the applicable sections.  In the VWP Permit Program </w:t>
      </w:r>
      <w:r>
        <w:rPr>
          <w:i/>
        </w:rPr>
        <w:t xml:space="preserve">publication of the notice for the draft permit is the </w:t>
      </w:r>
      <w:r w:rsidRPr="008F07EB">
        <w:rPr>
          <w:i/>
        </w:rPr>
        <w:t>responsibility of the applicant</w:t>
      </w:r>
      <w:r w:rsidRPr="008F07EB">
        <w:t xml:space="preserve">.  The notice must be published in a newspaper of general circulation in general vicinity of the project (see Code of Virginia, § </w:t>
      </w:r>
      <w:hyperlink r:id="rId67" w:history="1">
        <w:r w:rsidRPr="001A2FD1">
          <w:rPr>
            <w:rStyle w:val="Hyperlink"/>
          </w:rPr>
          <w:t>8.01-324</w:t>
        </w:r>
      </w:hyperlink>
      <w:r w:rsidRPr="003F14F3">
        <w:t>.</w:t>
      </w:r>
      <w:r w:rsidRPr="008F07EB">
        <w:t xml:space="preserve"> If in doubt regarding the quali</w:t>
      </w:r>
      <w:r>
        <w:t>fications of the newspaper, contact the publisher directly and ask whether the publication is authorized to publish legal notices in accordance with Virginia law.</w:t>
      </w:r>
    </w:p>
    <w:p w14:paraId="7B33A8D6" w14:textId="79D51720" w:rsidR="00B13266" w:rsidRDefault="00B13266" w:rsidP="00B13266">
      <w:pPr>
        <w:jc w:val="both"/>
      </w:pPr>
      <w:r>
        <w:t xml:space="preserve">DEQ requires proof of publication, which may be documented on the </w:t>
      </w:r>
      <w:r w:rsidRPr="002E00BA">
        <w:t xml:space="preserve">Public Notice Verification </w:t>
      </w:r>
      <w:r w:rsidR="00890236" w:rsidRPr="002E00BA">
        <w:t>Form</w:t>
      </w:r>
      <w:r w:rsidR="00890236">
        <w:t xml:space="preserve"> or</w:t>
      </w:r>
      <w:r>
        <w:t xml:space="preserve"> provided in a certification from the newspaper.  Either way, a copy of the actual notice from the paper should be in the permit file.  </w:t>
      </w:r>
      <w:r>
        <w:rPr>
          <w:i/>
        </w:rPr>
        <w:t>A photocopy without a sworn verification form is not acceptable</w:t>
      </w:r>
      <w:r>
        <w:t>.</w:t>
      </w:r>
    </w:p>
    <w:p w14:paraId="07E11886" w14:textId="77777777" w:rsidR="00B13266" w:rsidRPr="00B13266" w:rsidRDefault="00B13266" w:rsidP="00B13266">
      <w:pPr>
        <w:jc w:val="both"/>
      </w:pPr>
      <w:r>
        <w:lastRenderedPageBreak/>
        <w:t>More details are provided in the ‘Public Notice Process’ section</w:t>
      </w:r>
      <w:r w:rsidRPr="00031A95">
        <w:t>.</w:t>
      </w:r>
    </w:p>
    <w:p w14:paraId="61768D0B" w14:textId="5216E99E" w:rsidR="00535EF0" w:rsidRDefault="00535EF0" w:rsidP="00936CCE">
      <w:pPr>
        <w:pStyle w:val="Heading3"/>
        <w:keepNext w:val="0"/>
        <w:keepLines w:val="0"/>
      </w:pPr>
      <w:bookmarkStart w:id="43" w:name="_Toc536434605"/>
      <w:bookmarkStart w:id="44" w:name="_Toc179189550"/>
      <w:r>
        <w:t xml:space="preserve">5.8.6 </w:t>
      </w:r>
      <w:r w:rsidRPr="00824CEE">
        <w:t>Transmittal Letter</w:t>
      </w:r>
      <w:bookmarkEnd w:id="43"/>
      <w:r w:rsidR="00824CEE" w:rsidRPr="00824CEE">
        <w:t xml:space="preserve"> </w:t>
      </w:r>
      <w:r w:rsidR="00824CEE" w:rsidRPr="00A74D6B">
        <w:t>for the Draft Individual Permit and Public Notice</w:t>
      </w:r>
      <w:bookmarkEnd w:id="44"/>
    </w:p>
    <w:p w14:paraId="1C0DB9F6" w14:textId="6A7F1316" w:rsidR="00B13266" w:rsidRPr="00B13266" w:rsidRDefault="00B13266" w:rsidP="00B13266">
      <w:pPr>
        <w:jc w:val="both"/>
      </w:pPr>
      <w:r>
        <w:t xml:space="preserve">The Transmittal Letter includes directions to the applicant concerning the review of the </w:t>
      </w:r>
      <w:r w:rsidR="00824CEE">
        <w:t>Draft Individual Permit</w:t>
      </w:r>
      <w:r>
        <w:t xml:space="preserve"> and publication requirements.</w:t>
      </w:r>
      <w:r w:rsidR="00651548" w:rsidRPr="00651548">
        <w:t xml:space="preserve"> </w:t>
      </w:r>
      <w:r w:rsidR="00B271E5">
        <w:t>C</w:t>
      </w:r>
      <w:r w:rsidR="00651548">
        <w:t>opy staff counterparts at the USACE and VMRC.</w:t>
      </w:r>
    </w:p>
    <w:p w14:paraId="55A3D979" w14:textId="4EB59BC6" w:rsidR="00535EF0" w:rsidRDefault="00535EF0" w:rsidP="00936CCE">
      <w:pPr>
        <w:pStyle w:val="Heading3"/>
        <w:keepNext w:val="0"/>
        <w:keepLines w:val="0"/>
      </w:pPr>
      <w:bookmarkStart w:id="45" w:name="_Toc536434606"/>
      <w:bookmarkStart w:id="46" w:name="_Toc179189551"/>
      <w:r>
        <w:t xml:space="preserve">5.8.7 Review of Draft </w:t>
      </w:r>
      <w:r w:rsidR="00824CEE">
        <w:t xml:space="preserve">Individual </w:t>
      </w:r>
      <w:r>
        <w:t>Permit Package</w:t>
      </w:r>
      <w:bookmarkEnd w:id="45"/>
      <w:bookmarkEnd w:id="46"/>
    </w:p>
    <w:p w14:paraId="09DADF43" w14:textId="32BF2670" w:rsidR="00B13266" w:rsidRDefault="00B13266" w:rsidP="00B13266">
      <w:pPr>
        <w:jc w:val="both"/>
      </w:pPr>
      <w:r>
        <w:t xml:space="preserve">The completed Draft </w:t>
      </w:r>
      <w:r w:rsidR="00824CEE">
        <w:t xml:space="preserve">Individual </w:t>
      </w:r>
      <w:r>
        <w:t xml:space="preserve">Permit </w:t>
      </w:r>
      <w:r w:rsidR="00824CEE">
        <w:t>p</w:t>
      </w:r>
      <w:r>
        <w:t xml:space="preserve">ackage, consisting of the </w:t>
      </w:r>
      <w:r w:rsidR="00824CEE">
        <w:t xml:space="preserve">transmittal letter, </w:t>
      </w:r>
      <w:r w:rsidR="000278B4">
        <w:t xml:space="preserve">Draft </w:t>
      </w:r>
      <w:r>
        <w:t>Fact Sheet,</w:t>
      </w:r>
      <w:r w:rsidR="00824CEE">
        <w:t xml:space="preserve"> draft</w:t>
      </w:r>
      <w:r>
        <w:t xml:space="preserve"> Permit Cover Page, </w:t>
      </w:r>
      <w:r w:rsidR="00824CEE">
        <w:t xml:space="preserve">draft </w:t>
      </w:r>
      <w:r>
        <w:t xml:space="preserve">Part I - Special Conditions, Part II - General Conditions, </w:t>
      </w:r>
      <w:r w:rsidR="00824CEE">
        <w:t xml:space="preserve">draft </w:t>
      </w:r>
      <w:r>
        <w:t xml:space="preserve">Public Notice, </w:t>
      </w:r>
      <w:r w:rsidR="00824CEE">
        <w:t xml:space="preserve">and </w:t>
      </w:r>
      <w:r>
        <w:t xml:space="preserve">Public Notice Verification Form, should be peer reviewed by a VWP permit writer, then forwarded to the VWP Permit Program Manager or his/her delegate for review and approval, prior to being released to the applicant. </w:t>
      </w:r>
    </w:p>
    <w:p w14:paraId="2CB3BAD3" w14:textId="36AC7E47" w:rsidR="00B13266" w:rsidRPr="00F479AE" w:rsidRDefault="00B13266" w:rsidP="00B13266">
      <w:pPr>
        <w:jc w:val="both"/>
        <w:rPr>
          <w:b/>
        </w:rPr>
      </w:pPr>
      <w:r>
        <w:t xml:space="preserve">Once the Draft </w:t>
      </w:r>
      <w:r w:rsidR="00824CEE">
        <w:t xml:space="preserve">Individual </w:t>
      </w:r>
      <w:r>
        <w:t xml:space="preserve">Permit </w:t>
      </w:r>
      <w:r w:rsidR="00824CEE">
        <w:t>p</w:t>
      </w:r>
      <w:r>
        <w:t xml:space="preserve">ackage has been reviewed within DEQ and the appropriate changes have been made, ensure that the permit application fee has been received and deposited. </w:t>
      </w:r>
      <w:r>
        <w:rPr>
          <w:i/>
        </w:rPr>
        <w:t xml:space="preserve">The Draft </w:t>
      </w:r>
      <w:r w:rsidR="00824CEE">
        <w:rPr>
          <w:i/>
        </w:rPr>
        <w:t xml:space="preserve">Individual </w:t>
      </w:r>
      <w:r>
        <w:rPr>
          <w:i/>
        </w:rPr>
        <w:t xml:space="preserve">Permit </w:t>
      </w:r>
      <w:r w:rsidR="00824CEE">
        <w:rPr>
          <w:i/>
        </w:rPr>
        <w:t>p</w:t>
      </w:r>
      <w:r>
        <w:rPr>
          <w:i/>
        </w:rPr>
        <w:t>ackage cannot be sent to the applicant prior to DEQ receiving these items</w:t>
      </w:r>
      <w:r>
        <w:t xml:space="preserve">.  If DEQ has confirmation the fee has been deposited, send the Draft </w:t>
      </w:r>
      <w:r w:rsidR="00824CEE">
        <w:t xml:space="preserve">Individual </w:t>
      </w:r>
      <w:r>
        <w:t xml:space="preserve">Permit </w:t>
      </w:r>
      <w:r w:rsidR="00824CEE">
        <w:t>p</w:t>
      </w:r>
      <w:r>
        <w:t xml:space="preserve">ackage with the </w:t>
      </w:r>
      <w:r w:rsidR="00824CEE">
        <w:t>t</w:t>
      </w:r>
      <w:r>
        <w:t xml:space="preserve">ransmittal </w:t>
      </w:r>
      <w:r w:rsidR="00824CEE">
        <w:t>l</w:t>
      </w:r>
      <w:r>
        <w:t xml:space="preserve">etter to the applicant via email.  </w:t>
      </w:r>
    </w:p>
    <w:p w14:paraId="0612EDF3" w14:textId="6BC69996" w:rsidR="00B13266" w:rsidRPr="00F479AE" w:rsidRDefault="00B13266" w:rsidP="00B13266">
      <w:pPr>
        <w:jc w:val="both"/>
      </w:pPr>
      <w:r w:rsidRPr="00F479AE">
        <w:t xml:space="preserve">The </w:t>
      </w:r>
      <w:r w:rsidR="00824CEE">
        <w:t>t</w:t>
      </w:r>
      <w:r w:rsidRPr="00F479AE">
        <w:t xml:space="preserve">ransmittal </w:t>
      </w:r>
      <w:r w:rsidR="00824CEE">
        <w:t>l</w:t>
      </w:r>
      <w:r w:rsidRPr="00F479AE">
        <w:t xml:space="preserve">etter requests that the applicant review and comment on the Draft </w:t>
      </w:r>
      <w:r w:rsidR="00824CEE">
        <w:t xml:space="preserve">Individual </w:t>
      </w:r>
      <w:r w:rsidRPr="00F479AE">
        <w:t>Permit within 14 days</w:t>
      </w:r>
      <w:r w:rsidR="00824CEE">
        <w:t xml:space="preserve"> and provides instructions for entering the specific public comment period on the Public Notice before submittal to any newspaper for publication</w:t>
      </w:r>
      <w:r w:rsidRPr="00F479AE">
        <w:t>.  During this period, the applicant may request a meeting to discuss the proposed permit conditions or may elect to withdraw the application and thereby end permit processing.  If the applicant desires significant changes to the draft special conditions, especially to those based on agency comments, discuss the desired changes with your supervisor and the applicable agency(ies) prior to committing to any changes.</w:t>
      </w:r>
    </w:p>
    <w:p w14:paraId="1F3F26B9" w14:textId="572062A9" w:rsidR="00B13266" w:rsidRPr="00B13266" w:rsidRDefault="00B13266" w:rsidP="00B13266">
      <w:pPr>
        <w:jc w:val="both"/>
      </w:pPr>
      <w:r w:rsidRPr="00F479AE">
        <w:t xml:space="preserve">If the applicant does not respond with comments, and does not publish the notice within 14 days, the permit processing clock is stopped on the 15th day after the date the Draft </w:t>
      </w:r>
      <w:r w:rsidR="00824CEE">
        <w:t xml:space="preserve">Individual </w:t>
      </w:r>
      <w:r w:rsidRPr="00F479AE">
        <w:t xml:space="preserve">Permit </w:t>
      </w:r>
      <w:r w:rsidR="00824CEE">
        <w:t>p</w:t>
      </w:r>
      <w:r w:rsidRPr="00F479AE">
        <w:t xml:space="preserve">ackage is mailed to the </w:t>
      </w:r>
      <w:r w:rsidR="00890236" w:rsidRPr="00F479AE">
        <w:t>applicant and</w:t>
      </w:r>
      <w:r w:rsidRPr="00F479AE">
        <w:t xml:space="preserve"> is not </w:t>
      </w:r>
      <w:r w:rsidRPr="00C251EF">
        <w:t xml:space="preserve">resumed until </w:t>
      </w:r>
      <w:r w:rsidR="0071403F">
        <w:t xml:space="preserve">after </w:t>
      </w:r>
      <w:r w:rsidRPr="00C251EF">
        <w:t>the date of publication</w:t>
      </w:r>
      <w:r>
        <w:t xml:space="preserve"> (see </w:t>
      </w:r>
      <w:hyperlink r:id="rId68" w:history="1">
        <w:r w:rsidRPr="00973C06">
          <w:rPr>
            <w:rStyle w:val="Hyperlink"/>
          </w:rPr>
          <w:t>9VAC25-210-140</w:t>
        </w:r>
      </w:hyperlink>
      <w:r w:rsidR="00973C06">
        <w:t>.</w:t>
      </w:r>
      <w:r w:rsidRPr="00C251EF">
        <w:t>A</w:t>
      </w:r>
      <w:r>
        <w:t>).</w:t>
      </w:r>
      <w:r w:rsidRPr="00F479AE">
        <w:t xml:space="preserve">  If this o</w:t>
      </w:r>
      <w:r>
        <w:t>ccurs, document the Fact Sheet.</w:t>
      </w:r>
    </w:p>
    <w:p w14:paraId="54BD3776" w14:textId="08E6307A" w:rsidR="00535EF0" w:rsidRDefault="00535EF0" w:rsidP="00936CCE">
      <w:pPr>
        <w:pStyle w:val="Heading2"/>
        <w:keepNext w:val="0"/>
        <w:keepLines w:val="0"/>
      </w:pPr>
      <w:bookmarkStart w:id="47" w:name="_Toc536434607"/>
      <w:bookmarkStart w:id="48" w:name="_Toc179189552"/>
      <w:r>
        <w:t>5.9 Public Notice Process</w:t>
      </w:r>
      <w:bookmarkEnd w:id="47"/>
      <w:bookmarkEnd w:id="48"/>
    </w:p>
    <w:p w14:paraId="7A0582CE" w14:textId="77777777" w:rsidR="00535EF0" w:rsidRDefault="00535EF0" w:rsidP="00936CCE">
      <w:pPr>
        <w:pStyle w:val="Heading3"/>
        <w:keepNext w:val="0"/>
        <w:keepLines w:val="0"/>
      </w:pPr>
      <w:bookmarkStart w:id="49" w:name="_Toc536434608"/>
      <w:bookmarkStart w:id="50" w:name="_Toc179189553"/>
      <w:r>
        <w:t>5.9.1 Public Notice Notification</w:t>
      </w:r>
      <w:bookmarkEnd w:id="49"/>
      <w:bookmarkEnd w:id="50"/>
    </w:p>
    <w:p w14:paraId="407809FA" w14:textId="2860CE67" w:rsidR="00B13266" w:rsidRDefault="00B13266" w:rsidP="00B13266">
      <w:pPr>
        <w:jc w:val="both"/>
      </w:pPr>
      <w:r w:rsidRPr="008F07EB">
        <w:t xml:space="preserve">At the same time that the </w:t>
      </w:r>
      <w:r w:rsidR="00824CEE">
        <w:t>Draft Individual Permit package</w:t>
      </w:r>
      <w:r w:rsidRPr="008F07EB">
        <w:t xml:space="preserve"> is mailed to the applicant, send a Locality Notification of Public Notice Letter and a copy of the Public Notice to the Chief Administrative Officer of the County or City/Town (i.e., County Administrator or City Mayor/ Town Manager), the County Board of Supervisors or City Council, and the Regional Planning District Commission </w:t>
      </w:r>
      <w:r w:rsidRPr="003F14F3">
        <w:t>(use the template Public Notice Locality Notification Letters).</w:t>
      </w:r>
      <w:r w:rsidRPr="008F07EB">
        <w:t xml:space="preserve">  Contact names can be found on the appropriate county/city/town web sites and the appropriate Regional Planning District Commissions. </w:t>
      </w:r>
    </w:p>
    <w:p w14:paraId="5823A073" w14:textId="75D5E448" w:rsidR="00B13266" w:rsidRPr="00B13266" w:rsidRDefault="00824CEE" w:rsidP="00B13266">
      <w:r>
        <w:t xml:space="preserve">Once the specific public comment period is determined, </w:t>
      </w:r>
      <w:r w:rsidR="003C1DC8">
        <w:t>complete the dates in the Public Notice and e</w:t>
      </w:r>
      <w:r w:rsidR="00B13266">
        <w:t>-mail</w:t>
      </w:r>
      <w:r w:rsidR="00B13266" w:rsidRPr="008F07EB">
        <w:t xml:space="preserve"> a copy to </w:t>
      </w:r>
      <w:r w:rsidR="00AE6D1A">
        <w:t>the current web author</w:t>
      </w:r>
      <w:r w:rsidR="00B13266" w:rsidRPr="008F07EB">
        <w:t xml:space="preserve"> in the DEQ</w:t>
      </w:r>
      <w:r w:rsidR="003E24DF">
        <w:t xml:space="preserve"> regional office</w:t>
      </w:r>
      <w:r w:rsidR="00B13266" w:rsidRPr="008F07EB">
        <w:t xml:space="preserve"> </w:t>
      </w:r>
      <w:r w:rsidR="00AE6D1A" w:rsidRPr="0071403F">
        <w:t>who</w:t>
      </w:r>
      <w:r w:rsidR="00AE6D1A">
        <w:t xml:space="preserve"> has the responsibility to post VWP public notices to the program web page</w:t>
      </w:r>
      <w:r w:rsidR="003E24DF">
        <w:t xml:space="preserve"> </w:t>
      </w:r>
      <w:hyperlink r:id="rId69" w:history="1">
        <w:r w:rsidR="003E24DF">
          <w:rPr>
            <w:rStyle w:val="Hyperlink"/>
          </w:rPr>
          <w:t>https://www.deq.virginia.gov/permits/public-notices/water/wetlands-streams-vwp</w:t>
        </w:r>
      </w:hyperlink>
      <w:r w:rsidR="00AE6D1A">
        <w:t xml:space="preserve">. </w:t>
      </w:r>
    </w:p>
    <w:p w14:paraId="69CF3371" w14:textId="77777777" w:rsidR="00535EF0" w:rsidRDefault="00535EF0" w:rsidP="00936CCE">
      <w:pPr>
        <w:pStyle w:val="Heading3"/>
        <w:keepNext w:val="0"/>
        <w:keepLines w:val="0"/>
      </w:pPr>
      <w:bookmarkStart w:id="51" w:name="_Toc536434609"/>
      <w:bookmarkStart w:id="52" w:name="_Toc179189554"/>
      <w:r>
        <w:t>5.9.2 Public Notice Verification</w:t>
      </w:r>
      <w:bookmarkEnd w:id="51"/>
      <w:bookmarkEnd w:id="52"/>
    </w:p>
    <w:p w14:paraId="4CF563D2" w14:textId="77777777" w:rsidR="00B13266" w:rsidRDefault="00B13266" w:rsidP="00B13266">
      <w:pPr>
        <w:jc w:val="both"/>
      </w:pPr>
      <w:r>
        <w:lastRenderedPageBreak/>
        <w:t xml:space="preserve">The applicant must provide DEQ with proof that the public notice was published (Sworn Verification Statement or a similar signed document from the newspaper), and the proof must be submitted before the close of the 30-day public comment period.  </w:t>
      </w:r>
    </w:p>
    <w:p w14:paraId="7D034D19" w14:textId="77777777" w:rsidR="00B13266" w:rsidRPr="00B13266" w:rsidRDefault="00B13266" w:rsidP="00B13266">
      <w:pPr>
        <w:jc w:val="both"/>
      </w:pPr>
      <w:r>
        <w:t>Contact the applicant/agent if the verification statement or similar documentation from the newspaper is not received.</w:t>
      </w:r>
    </w:p>
    <w:p w14:paraId="02B1A1CF" w14:textId="77777777" w:rsidR="00535EF0" w:rsidRDefault="00535EF0" w:rsidP="00936CCE">
      <w:pPr>
        <w:pStyle w:val="Heading3"/>
        <w:keepNext w:val="0"/>
        <w:keepLines w:val="0"/>
      </w:pPr>
      <w:bookmarkStart w:id="53" w:name="_Toc536434610"/>
      <w:bookmarkStart w:id="54" w:name="_Toc179189555"/>
      <w:r>
        <w:t>5.9.3 Thirty-Day Public Comment Period</w:t>
      </w:r>
      <w:bookmarkEnd w:id="53"/>
      <w:bookmarkEnd w:id="54"/>
    </w:p>
    <w:p w14:paraId="00274E1D" w14:textId="5629C941" w:rsidR="009B1702" w:rsidRDefault="003B0C5F" w:rsidP="00B13266">
      <w:pPr>
        <w:jc w:val="both"/>
      </w:pPr>
      <w:r>
        <w:t>During the comment period, individuals m</w:t>
      </w:r>
      <w:r w:rsidR="009B1702">
        <w:t>ay</w:t>
      </w:r>
      <w:r>
        <w:t xml:space="preserve"> submit written comments via </w:t>
      </w:r>
      <w:r w:rsidR="009B1702">
        <w:t xml:space="preserve">hand-delivery, </w:t>
      </w:r>
      <w:r>
        <w:t>mail, fax, or e-mail</w:t>
      </w:r>
      <w:r w:rsidR="009B1702">
        <w:t xml:space="preserve"> (see Section 5.1)</w:t>
      </w:r>
      <w:r>
        <w:t>.  Comments may not be provided orally.</w:t>
      </w:r>
    </w:p>
    <w:p w14:paraId="5961EBDD" w14:textId="120E3F3B" w:rsidR="00B13266" w:rsidRPr="00B13266" w:rsidRDefault="00B13266" w:rsidP="00B13266">
      <w:pPr>
        <w:jc w:val="both"/>
      </w:pPr>
      <w:r>
        <w:t>Typically, public comments submitted after the public comment period ends are not considered in the official permit record for informal proceedings such as a draft permit action.  However, exceptions may be made on a case-by-case basis by the VWP Permit Program manager in the region processing the permit.  This is not necessarily the case with formal proceedings.</w:t>
      </w:r>
    </w:p>
    <w:p w14:paraId="1CA2612B" w14:textId="77777777" w:rsidR="00535EF0" w:rsidRDefault="00535EF0" w:rsidP="00D62476">
      <w:pPr>
        <w:pStyle w:val="Heading3"/>
      </w:pPr>
      <w:bookmarkStart w:id="55" w:name="_Toc536434611"/>
      <w:bookmarkStart w:id="56" w:name="_Toc179189556"/>
      <w:r>
        <w:t>5.9.4 Public Comment Review and Response</w:t>
      </w:r>
      <w:bookmarkEnd w:id="55"/>
      <w:bookmarkEnd w:id="56"/>
    </w:p>
    <w:p w14:paraId="1C7666F8" w14:textId="77F81CA4" w:rsidR="00B13266" w:rsidRDefault="00B13266" w:rsidP="00B13266">
      <w:pPr>
        <w:widowControl w:val="0"/>
        <w:jc w:val="both"/>
      </w:pPr>
      <w:r>
        <w:t>Public comment review by staff, as well as the Director’s decision whether to approve or deny a public hearing,</w:t>
      </w:r>
      <w:r w:rsidRPr="000E7B85">
        <w:t xml:space="preserve"> </w:t>
      </w:r>
      <w:r>
        <w:t xml:space="preserve">must be completed within </w:t>
      </w:r>
      <w:r w:rsidRPr="00FB7460">
        <w:rPr>
          <w:b/>
        </w:rPr>
        <w:t>30 days</w:t>
      </w:r>
      <w:r>
        <w:t xml:space="preserve"> of the end of the comment period.  Based on a review of relevant public comments, changes in the draft Part I - Special Conditions may be warranted.  Changes may be made to the permit conditions that correct typographical errors or are in response to comments that are within the purview of the VWP Permit Program.  Changes made to the special conditions as a result of public comments should be discussed with the applicant and all applicable parties.  </w:t>
      </w:r>
    </w:p>
    <w:p w14:paraId="0559025A" w14:textId="40E4E893" w:rsidR="00B13266" w:rsidRPr="00B13266" w:rsidRDefault="00B13266" w:rsidP="00B13266">
      <w:pPr>
        <w:widowControl w:val="0"/>
        <w:jc w:val="both"/>
      </w:pPr>
      <w:r>
        <w:t xml:space="preserve">Copies of all public comments must be maintained in the permit file.  At the end of the Public Notice period, prepare a summary of all comments and whether or not they have resulted in a change to permit conditions.  This summary </w:t>
      </w:r>
      <w:r w:rsidR="00AE63AD">
        <w:t>and any changes to the terms and condition</w:t>
      </w:r>
      <w:r w:rsidR="006C2289">
        <w:t>s as a result of public comments</w:t>
      </w:r>
      <w:r w:rsidR="00AE63AD">
        <w:t xml:space="preserve"> should be captured in the Fact Sheet accordingly. </w:t>
      </w:r>
      <w:r>
        <w:t xml:space="preserve">  </w:t>
      </w:r>
      <w:r>
        <w:rPr>
          <w:i/>
        </w:rPr>
        <w:t>All commenters should be provided with a copy of the summary</w:t>
      </w:r>
      <w:r>
        <w:t>.</w:t>
      </w:r>
    </w:p>
    <w:p w14:paraId="42BBEA65" w14:textId="77777777" w:rsidR="00535EF0" w:rsidRDefault="00535EF0" w:rsidP="00B13266">
      <w:pPr>
        <w:pStyle w:val="Heading3"/>
        <w:keepNext w:val="0"/>
        <w:keepLines w:val="0"/>
        <w:widowControl w:val="0"/>
      </w:pPr>
      <w:bookmarkStart w:id="57" w:name="_Toc536434612"/>
      <w:bookmarkStart w:id="58" w:name="_Toc179189557"/>
      <w:r>
        <w:t>5.9.5 Public Hearing</w:t>
      </w:r>
      <w:bookmarkEnd w:id="57"/>
      <w:bookmarkEnd w:id="58"/>
    </w:p>
    <w:p w14:paraId="360931E7" w14:textId="04D909ED" w:rsidR="00A57193" w:rsidRDefault="00A57193" w:rsidP="00A57193">
      <w:pPr>
        <w:widowControl w:val="0"/>
        <w:jc w:val="both"/>
      </w:pPr>
      <w:r>
        <w:t xml:space="preserve">The Director of DEQ typically has </w:t>
      </w:r>
      <w:r w:rsidRPr="003038CD">
        <w:t xml:space="preserve">30 calendar days following the </w:t>
      </w:r>
      <w:r>
        <w:t>end of the comment period to decide whether or not a hearing is warranted</w:t>
      </w:r>
      <w:r w:rsidR="00306EE3">
        <w:t xml:space="preserve"> (</w:t>
      </w:r>
      <w:hyperlink r:id="rId70" w:history="1">
        <w:r w:rsidR="00306EE3" w:rsidRPr="006F5817">
          <w:rPr>
            <w:rStyle w:val="Hyperlink"/>
          </w:rPr>
          <w:t>9VAC25-210-165</w:t>
        </w:r>
      </w:hyperlink>
      <w:r w:rsidR="006F5817">
        <w:t>.</w:t>
      </w:r>
      <w:r w:rsidR="00306EE3">
        <w:t>C)</w:t>
      </w:r>
      <w:r>
        <w:t xml:space="preserve">. </w:t>
      </w:r>
      <w:r w:rsidRPr="00094977">
        <w:t>In addition, the Director may, in his discretion, convene a public hearing on a permit action.</w:t>
      </w:r>
      <w:r>
        <w:t xml:space="preserve"> </w:t>
      </w:r>
    </w:p>
    <w:p w14:paraId="3DDB8E69" w14:textId="4B60FE64" w:rsidR="00C234B3" w:rsidRPr="003B1A99" w:rsidRDefault="00C234B3" w:rsidP="00BD3CAE">
      <w:pPr>
        <w:jc w:val="both"/>
        <w:rPr>
          <w:rFonts w:ascii="F1" w:eastAsia="Times New Roman" w:hAnsi="F1" w:cs="F1"/>
          <w:color w:val="000000"/>
          <w:szCs w:val="24"/>
        </w:rPr>
      </w:pPr>
      <w:r>
        <w:t>Any time that DEQ decides to hold a public hearing, or a concurrent public comment period and a public hearing, then refer to the</w:t>
      </w:r>
      <w:r w:rsidRPr="009C052E">
        <w:t xml:space="preserve"> guidance on processing</w:t>
      </w:r>
      <w:r>
        <w:t xml:space="preserve"> controversial VWP individual permits in the most recent version of </w:t>
      </w:r>
      <w:hyperlink r:id="rId71" w:history="1">
        <w:r w:rsidRPr="00333220">
          <w:rPr>
            <w:rStyle w:val="Hyperlink"/>
          </w:rPr>
          <w:t>“Public Hearing Procedures for Permitting Decisions [9.23.22].pdf”</w:t>
        </w:r>
      </w:hyperlink>
      <w:r>
        <w:t xml:space="preserve">, as well </w:t>
      </w:r>
      <w:r w:rsidR="00333220">
        <w:t xml:space="preserve">as </w:t>
      </w:r>
      <w:hyperlink r:id="rId72" w:history="1">
        <w:r w:rsidR="00333220" w:rsidRPr="006F5817">
          <w:rPr>
            <w:rStyle w:val="Hyperlink"/>
          </w:rPr>
          <w:t>9VAC25-210-140 through -174</w:t>
        </w:r>
      </w:hyperlink>
      <w:r w:rsidR="00333220">
        <w:t>.</w:t>
      </w:r>
      <w:r w:rsidR="00281AD9">
        <w:t xml:space="preserve"> </w:t>
      </w:r>
      <w:r w:rsidR="001B1EC2">
        <w:t>T</w:t>
      </w:r>
      <w:r w:rsidR="00610BE2">
        <w:t>h</w:t>
      </w:r>
      <w:r w:rsidR="001B1EC2">
        <w:t>is</w:t>
      </w:r>
      <w:r w:rsidR="00B57AE9">
        <w:t xml:space="preserve"> procedures document directs staff to “</w:t>
      </w:r>
      <w:r w:rsidR="00FF0431">
        <w:rPr>
          <w:rFonts w:ascii="F1" w:eastAsia="Times New Roman" w:hAnsi="F1" w:cs="F1"/>
          <w:color w:val="000000"/>
          <w:szCs w:val="24"/>
          <w:lang w:val="x-none"/>
        </w:rPr>
        <w:t>Send notice to newspaper for publication in accordance with notice</w:t>
      </w:r>
      <w:r w:rsidR="00FF0431">
        <w:rPr>
          <w:rFonts w:ascii="F1" w:eastAsia="Times New Roman" w:hAnsi="F1" w:cs="F1"/>
          <w:color w:val="000000"/>
          <w:szCs w:val="24"/>
        </w:rPr>
        <w:t xml:space="preserve"> </w:t>
      </w:r>
      <w:r w:rsidR="00FF0431">
        <w:rPr>
          <w:rFonts w:ascii="F1" w:eastAsia="Times New Roman" w:hAnsi="F1" w:cs="F1"/>
          <w:color w:val="000000"/>
          <w:szCs w:val="24"/>
          <w:lang w:val="x-none"/>
        </w:rPr>
        <w:t>requirements of law and regulation and in accordance with purchasing procedures and</w:t>
      </w:r>
      <w:r w:rsidR="00FF0431">
        <w:rPr>
          <w:rFonts w:ascii="F1" w:eastAsia="Times New Roman" w:hAnsi="F1" w:cs="F1"/>
          <w:color w:val="000000"/>
          <w:szCs w:val="24"/>
        </w:rPr>
        <w:t xml:space="preserve"> </w:t>
      </w:r>
      <w:r w:rsidR="00FF0431">
        <w:rPr>
          <w:rFonts w:ascii="F1" w:eastAsia="Times New Roman" w:hAnsi="F1" w:cs="F1"/>
          <w:color w:val="000000"/>
          <w:szCs w:val="24"/>
          <w:lang w:val="x-none"/>
        </w:rPr>
        <w:t>verifies newspaper receipt and publication of notice.</w:t>
      </w:r>
      <w:r w:rsidR="00FF0431">
        <w:rPr>
          <w:rFonts w:ascii="F1" w:eastAsia="Times New Roman" w:hAnsi="F1" w:cs="F1"/>
          <w:color w:val="000000"/>
          <w:szCs w:val="24"/>
        </w:rPr>
        <w:t>”</w:t>
      </w:r>
    </w:p>
    <w:p w14:paraId="04920D46" w14:textId="661D7A47" w:rsidR="008601AF" w:rsidRDefault="008601AF" w:rsidP="00A57193">
      <w:pPr>
        <w:widowControl w:val="0"/>
        <w:jc w:val="both"/>
      </w:pPr>
      <w:r>
        <w:t>When developing the public notice for a public hearing, a beginning time is always included, but an ending time may not be. If there is a specific reason to include an ending time, such as a venue requires vacating the premises by a certain time, then include that in the notice. Otherwise, consider carefully before adding an ending time. If an ending time is listed in the notice, DEQ is required to remain until that ending time.</w:t>
      </w:r>
    </w:p>
    <w:p w14:paraId="3E1C0B45" w14:textId="4C8F4BC1" w:rsidR="00B13266" w:rsidRPr="00B13266" w:rsidRDefault="00AE63AD" w:rsidP="00B13266">
      <w:pPr>
        <w:widowControl w:val="0"/>
        <w:jc w:val="both"/>
      </w:pPr>
      <w:r>
        <w:t>The hearing should be summarized</w:t>
      </w:r>
      <w:r w:rsidR="00470B41">
        <w:t xml:space="preserve"> in the Fact Sheet</w:t>
      </w:r>
      <w:r>
        <w:t xml:space="preserve">, along with any changes to the terms and conditions </w:t>
      </w:r>
      <w:r>
        <w:lastRenderedPageBreak/>
        <w:t>as a result of the hearing.</w:t>
      </w:r>
    </w:p>
    <w:p w14:paraId="54E92317" w14:textId="6B0DE030" w:rsidR="00535EF0" w:rsidRDefault="00535EF0" w:rsidP="00B13266">
      <w:pPr>
        <w:pStyle w:val="Heading2"/>
        <w:keepNext w:val="0"/>
        <w:keepLines w:val="0"/>
        <w:widowControl w:val="0"/>
      </w:pPr>
      <w:bookmarkStart w:id="59" w:name="_Toc536434613"/>
      <w:bookmarkStart w:id="60" w:name="_Toc179189558"/>
      <w:r>
        <w:t>5.10 Permit Issuance</w:t>
      </w:r>
      <w:bookmarkEnd w:id="59"/>
      <w:bookmarkEnd w:id="60"/>
    </w:p>
    <w:p w14:paraId="4658B6BA" w14:textId="189BDD52" w:rsidR="00B13266" w:rsidRDefault="00B13266" w:rsidP="00B13266">
      <w:pPr>
        <w:jc w:val="both"/>
      </w:pPr>
      <w:r>
        <w:t xml:space="preserve">The </w:t>
      </w:r>
      <w:r w:rsidR="002E00BA">
        <w:t xml:space="preserve">Final </w:t>
      </w:r>
      <w:r>
        <w:t xml:space="preserve">Individual Permit </w:t>
      </w:r>
      <w:r w:rsidR="002E00BA">
        <w:t>p</w:t>
      </w:r>
      <w:r>
        <w:t xml:space="preserve">ackage includes the </w:t>
      </w:r>
      <w:r w:rsidR="002E00BA">
        <w:t>transmittal letter; the</w:t>
      </w:r>
      <w:r>
        <w:t xml:space="preserve"> </w:t>
      </w:r>
      <w:r w:rsidR="00164D32">
        <w:t xml:space="preserve">final </w:t>
      </w:r>
      <w:r>
        <w:t>Fact Sheet,</w:t>
      </w:r>
      <w:r w:rsidR="002E00BA">
        <w:t xml:space="preserve"> updated through the final </w:t>
      </w:r>
      <w:r w:rsidR="00470B41">
        <w:t>department</w:t>
      </w:r>
      <w:r w:rsidR="002E00BA">
        <w:t xml:space="preserve"> decision;</w:t>
      </w:r>
      <w:r>
        <w:t xml:space="preserve"> the final Permit Cover Page (with the issuance and expiration dates filled in), the final Part I - Special Conditions, and </w:t>
      </w:r>
      <w:r w:rsidR="002E00BA">
        <w:t xml:space="preserve">the </w:t>
      </w:r>
      <w:r>
        <w:t xml:space="preserve">Part II - General Conditions.  </w:t>
      </w:r>
      <w:r w:rsidR="002E00BA">
        <w:t>Templates for these documents are available in the Chapter 5 Templates folder</w:t>
      </w:r>
      <w:r>
        <w:t>.</w:t>
      </w:r>
    </w:p>
    <w:p w14:paraId="22F3475A" w14:textId="3B8E08A6" w:rsidR="00C9076A" w:rsidRPr="003C629E" w:rsidRDefault="00C9076A" w:rsidP="00C9076A">
      <w:pPr>
        <w:jc w:val="both"/>
      </w:pPr>
      <w:r>
        <w:t xml:space="preserve">The </w:t>
      </w:r>
      <w:r w:rsidR="00164D32">
        <w:t xml:space="preserve">final </w:t>
      </w:r>
      <w:r>
        <w:t xml:space="preserve">Fact Sheet should reflect information </w:t>
      </w:r>
      <w:r w:rsidRPr="00B20BF9">
        <w:rPr>
          <w:i/>
        </w:rPr>
        <w:t>up to and including</w:t>
      </w:r>
      <w:r>
        <w:t xml:space="preserve"> the final decision, upon which the </w:t>
      </w:r>
      <w:r w:rsidR="00470B41">
        <w:t>department</w:t>
      </w:r>
      <w:r>
        <w:t xml:space="preserve"> has develo</w:t>
      </w:r>
      <w:r w:rsidR="00A74D6B">
        <w:t>ped final terms and conditions.</w:t>
      </w:r>
    </w:p>
    <w:p w14:paraId="48C542AB" w14:textId="5FF14E89" w:rsidR="00C9076A" w:rsidRDefault="00C9076A" w:rsidP="00C9076A">
      <w:pPr>
        <w:jc w:val="both"/>
      </w:pPr>
      <w:r w:rsidRPr="003C629E">
        <w:rPr>
          <w:i/>
        </w:rPr>
        <w:t xml:space="preserve">Once the final </w:t>
      </w:r>
      <w:r w:rsidR="00470B41">
        <w:rPr>
          <w:i/>
        </w:rPr>
        <w:t>department</w:t>
      </w:r>
      <w:r w:rsidRPr="003C629E">
        <w:rPr>
          <w:i/>
        </w:rPr>
        <w:t xml:space="preserve"> decision is complete</w:t>
      </w:r>
      <w:r w:rsidRPr="003C629E">
        <w:t xml:space="preserve">, the Fact Sheet is </w:t>
      </w:r>
      <w:r w:rsidR="000278B4">
        <w:t xml:space="preserve">dated in the header with the same date as the final permit and </w:t>
      </w:r>
      <w:r w:rsidRPr="003C629E">
        <w:t xml:space="preserve">marked with a date footer [Revised M/DD/YYYY] before sending it to the permittee. </w:t>
      </w:r>
      <w:r w:rsidR="00A53394">
        <w:t xml:space="preserve">Make sure to remove the “Draft” label. </w:t>
      </w:r>
      <w:r w:rsidRPr="003C629E">
        <w:t xml:space="preserve">Upload the Fact Sheet to ECM as part of the final individual permit or modification documentation [ECM coding: Retention Schedule = 009550, Document Type = Permit Decision]. See also </w:t>
      </w:r>
      <w:hyperlink r:id="rId73" w:history="1">
        <w:r w:rsidRPr="003C629E">
          <w:rPr>
            <w:rStyle w:val="Hyperlink"/>
          </w:rPr>
          <w:t>Library of Virginia Records Retention and Disposition Schedule General Schedule 101- 012019</w:t>
        </w:r>
      </w:hyperlink>
      <w:r w:rsidRPr="003C629E">
        <w:t>.</w:t>
      </w:r>
    </w:p>
    <w:p w14:paraId="5466D875" w14:textId="2C5569B2" w:rsidR="00B13266" w:rsidRPr="008B628F" w:rsidRDefault="00B13266">
      <w:pPr>
        <w:jc w:val="both"/>
      </w:pPr>
      <w:r>
        <w:t xml:space="preserve">Staff should forward the final Individual Permit Package to the Regional VWP Permit Manager or his/her delegate for review. </w:t>
      </w:r>
      <w:r w:rsidRPr="008B628F">
        <w:t xml:space="preserve">Once the documents have been signed and dated, send the signed </w:t>
      </w:r>
      <w:r w:rsidR="00AE63AD">
        <w:t>F</w:t>
      </w:r>
      <w:r>
        <w:t xml:space="preserve">inal Individual Permit </w:t>
      </w:r>
      <w:r w:rsidR="00AE63AD">
        <w:t>p</w:t>
      </w:r>
      <w:r>
        <w:t>ackage</w:t>
      </w:r>
      <w:r w:rsidR="00AE63AD" w:rsidRPr="00AE63AD">
        <w:t xml:space="preserve"> </w:t>
      </w:r>
      <w:r w:rsidR="00AE63AD" w:rsidRPr="008B628F">
        <w:t xml:space="preserve">to the permittee </w:t>
      </w:r>
      <w:r w:rsidR="00AE63AD" w:rsidRPr="00D050B6">
        <w:t>via email</w:t>
      </w:r>
      <w:r>
        <w:t xml:space="preserve">, including the </w:t>
      </w:r>
      <w:r w:rsidR="00164D32">
        <w:t xml:space="preserve">final </w:t>
      </w:r>
      <w:r w:rsidR="00AE63AD">
        <w:t>F</w:t>
      </w:r>
      <w:r>
        <w:t xml:space="preserve">act </w:t>
      </w:r>
      <w:r w:rsidR="00AE63AD">
        <w:t>S</w:t>
      </w:r>
      <w:r>
        <w:t>heet</w:t>
      </w:r>
      <w:r w:rsidR="00AE63AD">
        <w:t>,</w:t>
      </w:r>
      <w:r>
        <w:t xml:space="preserve"> the Construction Status Update Form</w:t>
      </w:r>
      <w:r w:rsidR="00AE63AD">
        <w:t>,</w:t>
      </w:r>
      <w:r>
        <w:t xml:space="preserve"> and the Monthly Inspection Checklist as attachments</w:t>
      </w:r>
      <w:r w:rsidR="00AE63AD">
        <w:t>,</w:t>
      </w:r>
      <w:r>
        <w:t xml:space="preserve"> as they are required to be used in the permit special conditions.</w:t>
      </w:r>
      <w:r w:rsidR="00AE63AD">
        <w:t xml:space="preserve"> </w:t>
      </w:r>
    </w:p>
    <w:p w14:paraId="088AE702" w14:textId="280C1107" w:rsidR="00B13266" w:rsidRPr="008B628F" w:rsidRDefault="00B271E5" w:rsidP="00B13266">
      <w:pPr>
        <w:jc w:val="both"/>
      </w:pPr>
      <w:r>
        <w:t>A</w:t>
      </w:r>
      <w:r w:rsidR="00651548">
        <w:t xml:space="preserve">lso email an electronic copy to staff counterparts at the USACE and VMRC, or upload to an agency-designated site for their access and download. </w:t>
      </w:r>
      <w:r w:rsidR="00B13266">
        <w:t xml:space="preserve">Also, in cases where there were negotiations with concerned citizens or stakeholders, then it may be appropriate to send a copy of the final permit to those parties.  </w:t>
      </w:r>
    </w:p>
    <w:p w14:paraId="53CCFDC9" w14:textId="0D6F8712" w:rsidR="00B13266" w:rsidRPr="008B628F" w:rsidRDefault="00B13266" w:rsidP="00B13266">
      <w:pPr>
        <w:jc w:val="both"/>
      </w:pPr>
      <w:r>
        <w:t xml:space="preserve">If </w:t>
      </w:r>
      <w:r w:rsidR="0081509B">
        <w:t>s</w:t>
      </w:r>
      <w:r>
        <w:t>taff</w:t>
      </w:r>
      <w:r w:rsidRPr="008B628F">
        <w:t xml:space="preserve"> choose</w:t>
      </w:r>
      <w:r>
        <w:t>s</w:t>
      </w:r>
      <w:r w:rsidRPr="008B628F">
        <w:t xml:space="preserve"> to save an electronic copy of the Final</w:t>
      </w:r>
      <w:r w:rsidR="0081509B">
        <w:t xml:space="preserve"> Individual</w:t>
      </w:r>
      <w:r w:rsidRPr="008B628F">
        <w:t xml:space="preserve"> Permit </w:t>
      </w:r>
      <w:r w:rsidR="0081509B">
        <w:t>p</w:t>
      </w:r>
      <w:r w:rsidRPr="008B628F">
        <w:t xml:space="preserve">ackage on a DEQ office server, do so </w:t>
      </w:r>
      <w:r>
        <w:t>under the permit number.</w:t>
      </w:r>
    </w:p>
    <w:p w14:paraId="7A30DB7D" w14:textId="21A19C26" w:rsidR="00B13266" w:rsidRDefault="00FE48B2" w:rsidP="00B13266">
      <w:pPr>
        <w:jc w:val="both"/>
      </w:pPr>
      <w:r>
        <w:t xml:space="preserve">The VWP individual permit package is typically emailed to the permittee and/or agent. If sending a paper copy via postal mail, ensure a copy is also sent via email. </w:t>
      </w:r>
      <w:r w:rsidR="00B13266" w:rsidRPr="008B628F">
        <w:t>Once the VWP indi</w:t>
      </w:r>
      <w:r w:rsidR="00B13266">
        <w:t xml:space="preserve">vidual permit has been issued, </w:t>
      </w:r>
      <w:r w:rsidR="0081509B">
        <w:t>s</w:t>
      </w:r>
      <w:r w:rsidR="00B13266">
        <w:t>taff</w:t>
      </w:r>
      <w:r w:rsidR="00B13266" w:rsidRPr="008B628F">
        <w:t xml:space="preserve"> must complete the following steps as soon as possible:</w:t>
      </w:r>
    </w:p>
    <w:p w14:paraId="3F613196" w14:textId="14D648C2" w:rsidR="00B13266" w:rsidRPr="00122908" w:rsidRDefault="00B13266" w:rsidP="00B13266">
      <w:pPr>
        <w:pStyle w:val="ListParagraph"/>
        <w:numPr>
          <w:ilvl w:val="0"/>
          <w:numId w:val="14"/>
        </w:numPr>
        <w:jc w:val="both"/>
        <w:rPr>
          <w:sz w:val="22"/>
          <w:szCs w:val="22"/>
        </w:rPr>
      </w:pPr>
      <w:r w:rsidRPr="00122908">
        <w:rPr>
          <w:sz w:val="22"/>
          <w:szCs w:val="22"/>
        </w:rPr>
        <w:t xml:space="preserve">complete all CEDS information and ensure that the </w:t>
      </w:r>
      <w:r w:rsidR="0081509B">
        <w:rPr>
          <w:sz w:val="22"/>
          <w:szCs w:val="22"/>
        </w:rPr>
        <w:t>permit record Classification</w:t>
      </w:r>
      <w:r w:rsidRPr="00122908">
        <w:rPr>
          <w:sz w:val="22"/>
          <w:szCs w:val="22"/>
        </w:rPr>
        <w:t xml:space="preserve"> is </w:t>
      </w:r>
      <w:r w:rsidR="0081509B">
        <w:rPr>
          <w:sz w:val="22"/>
          <w:szCs w:val="22"/>
        </w:rPr>
        <w:t>changed</w:t>
      </w:r>
      <w:r w:rsidRPr="00122908">
        <w:rPr>
          <w:sz w:val="22"/>
          <w:szCs w:val="22"/>
        </w:rPr>
        <w:t xml:space="preserve"> from “application” to “active” and that any due dates are entered (refer to</w:t>
      </w:r>
      <w:r w:rsidR="0081509B">
        <w:rPr>
          <w:sz w:val="22"/>
          <w:szCs w:val="22"/>
        </w:rPr>
        <w:t xml:space="preserve"> the most recent version of the</w:t>
      </w:r>
      <w:r w:rsidRPr="00122908">
        <w:rPr>
          <w:sz w:val="22"/>
          <w:szCs w:val="22"/>
        </w:rPr>
        <w:t xml:space="preserve"> </w:t>
      </w:r>
      <w:r w:rsidR="0081509B">
        <w:rPr>
          <w:sz w:val="22"/>
          <w:szCs w:val="22"/>
        </w:rPr>
        <w:t>VWP CEDS Permit Manual</w:t>
      </w:r>
      <w:r w:rsidRPr="00122908">
        <w:rPr>
          <w:sz w:val="22"/>
          <w:szCs w:val="22"/>
        </w:rPr>
        <w:t xml:space="preserve"> on DEQNet;</w:t>
      </w:r>
    </w:p>
    <w:p w14:paraId="0EB825FB" w14:textId="77777777" w:rsidR="00B13266" w:rsidRPr="00122908" w:rsidRDefault="00B13266" w:rsidP="00B13266">
      <w:pPr>
        <w:pStyle w:val="ListParagraph"/>
        <w:numPr>
          <w:ilvl w:val="0"/>
          <w:numId w:val="14"/>
        </w:numPr>
        <w:jc w:val="both"/>
        <w:rPr>
          <w:sz w:val="22"/>
          <w:szCs w:val="22"/>
        </w:rPr>
      </w:pPr>
      <w:r w:rsidRPr="00122908">
        <w:rPr>
          <w:sz w:val="22"/>
          <w:szCs w:val="22"/>
        </w:rPr>
        <w:t xml:space="preserve">ensure that all pertinent information is included and organized in the permit file; </w:t>
      </w:r>
    </w:p>
    <w:p w14:paraId="4995C388" w14:textId="77777777" w:rsidR="00B13266" w:rsidRPr="00122908" w:rsidRDefault="00B13266" w:rsidP="00B13266">
      <w:pPr>
        <w:pStyle w:val="ListParagraph"/>
        <w:numPr>
          <w:ilvl w:val="0"/>
          <w:numId w:val="14"/>
        </w:numPr>
        <w:jc w:val="both"/>
        <w:rPr>
          <w:sz w:val="22"/>
          <w:szCs w:val="22"/>
        </w:rPr>
      </w:pPr>
      <w:r w:rsidRPr="00122908">
        <w:rPr>
          <w:sz w:val="22"/>
          <w:szCs w:val="22"/>
        </w:rPr>
        <w:t>file hardcopy documents appropriately;</w:t>
      </w:r>
    </w:p>
    <w:p w14:paraId="117B1ED6" w14:textId="5EDB288F" w:rsidR="00B13266" w:rsidRPr="00122908" w:rsidRDefault="00B13266" w:rsidP="00B13266">
      <w:pPr>
        <w:pStyle w:val="ListParagraph"/>
        <w:numPr>
          <w:ilvl w:val="0"/>
          <w:numId w:val="14"/>
        </w:numPr>
        <w:jc w:val="both"/>
        <w:rPr>
          <w:sz w:val="22"/>
          <w:szCs w:val="22"/>
        </w:rPr>
      </w:pPr>
      <w:r w:rsidRPr="00122908">
        <w:rPr>
          <w:sz w:val="22"/>
          <w:szCs w:val="22"/>
        </w:rPr>
        <w:t>prepare the permit file for upload to DEQ’s Enterprise Content Management</w:t>
      </w:r>
      <w:r w:rsidR="0081509B">
        <w:rPr>
          <w:sz w:val="22"/>
          <w:szCs w:val="22"/>
        </w:rPr>
        <w:t xml:space="preserve"> (ECM)</w:t>
      </w:r>
      <w:r w:rsidRPr="00122908">
        <w:rPr>
          <w:sz w:val="22"/>
          <w:szCs w:val="22"/>
        </w:rPr>
        <w:t xml:space="preserve"> system</w:t>
      </w:r>
      <w:r w:rsidR="0081509B">
        <w:rPr>
          <w:sz w:val="22"/>
          <w:szCs w:val="22"/>
        </w:rPr>
        <w:t xml:space="preserve"> per instructions in this </w:t>
      </w:r>
      <w:r w:rsidR="00A51F75">
        <w:rPr>
          <w:sz w:val="22"/>
          <w:szCs w:val="22"/>
        </w:rPr>
        <w:t>c</w:t>
      </w:r>
      <w:r w:rsidR="0081509B">
        <w:rPr>
          <w:sz w:val="22"/>
          <w:szCs w:val="22"/>
        </w:rPr>
        <w:t>hapter</w:t>
      </w:r>
      <w:r w:rsidRPr="00122908">
        <w:rPr>
          <w:sz w:val="22"/>
          <w:szCs w:val="22"/>
        </w:rPr>
        <w:t>;</w:t>
      </w:r>
    </w:p>
    <w:p w14:paraId="3B5AB6D5" w14:textId="76DA6408" w:rsidR="00B13266" w:rsidRPr="00122908" w:rsidRDefault="00B13266" w:rsidP="00B13266">
      <w:pPr>
        <w:pStyle w:val="ListParagraph"/>
        <w:numPr>
          <w:ilvl w:val="0"/>
          <w:numId w:val="14"/>
        </w:numPr>
        <w:jc w:val="both"/>
        <w:rPr>
          <w:sz w:val="22"/>
          <w:szCs w:val="22"/>
        </w:rPr>
      </w:pPr>
      <w:r w:rsidRPr="00122908">
        <w:rPr>
          <w:sz w:val="22"/>
          <w:szCs w:val="22"/>
        </w:rPr>
        <w:t xml:space="preserve">add the permit record to the regional tracking form (if applicable); </w:t>
      </w:r>
    </w:p>
    <w:p w14:paraId="2224E0F9" w14:textId="77777777" w:rsidR="00B13266" w:rsidRDefault="00B13266" w:rsidP="00B13266">
      <w:pPr>
        <w:pStyle w:val="ListParagraph"/>
        <w:numPr>
          <w:ilvl w:val="0"/>
          <w:numId w:val="14"/>
        </w:numPr>
        <w:jc w:val="both"/>
        <w:rPr>
          <w:sz w:val="22"/>
          <w:szCs w:val="22"/>
        </w:rPr>
      </w:pPr>
      <w:r w:rsidRPr="00122908">
        <w:rPr>
          <w:sz w:val="22"/>
          <w:szCs w:val="22"/>
        </w:rPr>
        <w:t>add the project boundary to GIS or confirm existing GIS entry is accurate, including applicable metadata; and</w:t>
      </w:r>
    </w:p>
    <w:p w14:paraId="7BD770E4" w14:textId="77777777" w:rsidR="00B13266" w:rsidRPr="00B13266" w:rsidRDefault="00B13266" w:rsidP="00B13266">
      <w:pPr>
        <w:pStyle w:val="ListParagraph"/>
        <w:numPr>
          <w:ilvl w:val="0"/>
          <w:numId w:val="14"/>
        </w:numPr>
        <w:jc w:val="both"/>
        <w:rPr>
          <w:sz w:val="22"/>
          <w:szCs w:val="22"/>
        </w:rPr>
      </w:pPr>
      <w:r w:rsidRPr="00122908">
        <w:rPr>
          <w:sz w:val="22"/>
          <w:szCs w:val="22"/>
        </w:rPr>
        <w:t>begin compliance monitoring.</w:t>
      </w:r>
    </w:p>
    <w:p w14:paraId="1312E320" w14:textId="1E2E63A4" w:rsidR="00535EF0" w:rsidRDefault="00535EF0" w:rsidP="00D51F74">
      <w:pPr>
        <w:pStyle w:val="Heading2"/>
        <w:jc w:val="both"/>
      </w:pPr>
      <w:bookmarkStart w:id="61" w:name="_Toc536434614"/>
      <w:bookmarkStart w:id="62" w:name="_Toc179189559"/>
      <w:r>
        <w:lastRenderedPageBreak/>
        <w:t>5.11 Process for Denial of an Individual Permit Application</w:t>
      </w:r>
      <w:bookmarkEnd w:id="61"/>
      <w:bookmarkEnd w:id="62"/>
    </w:p>
    <w:p w14:paraId="56A005AF" w14:textId="4D548ABE" w:rsidR="00B13266" w:rsidRPr="00B13266" w:rsidRDefault="00B13266" w:rsidP="00B13266">
      <w:pPr>
        <w:widowControl w:val="0"/>
        <w:jc w:val="both"/>
      </w:pPr>
      <w:r>
        <w:t>The administrative and technical review of an application may result in a situation where the issuance of a permit</w:t>
      </w:r>
      <w:r w:rsidR="007208F4">
        <w:t xml:space="preserve"> or permit coverage</w:t>
      </w:r>
      <w:r>
        <w:t xml:space="preserve"> is not supported by law and regulation.  The first step in any denial process should always be a thorough discussion of the facts of the case with Regional </w:t>
      </w:r>
      <w:r w:rsidR="007208F4">
        <w:t xml:space="preserve">Director </w:t>
      </w:r>
      <w:r>
        <w:t xml:space="preserve">and Central Office management.  </w:t>
      </w:r>
      <w:r w:rsidR="007208F4">
        <w:t>Do not</w:t>
      </w:r>
      <w:r>
        <w:t xml:space="preserve"> begin the formal denial process </w:t>
      </w:r>
      <w:r w:rsidR="007208F4">
        <w:t>until</w:t>
      </w:r>
      <w:r>
        <w:t xml:space="preserve"> concurrence from </w:t>
      </w:r>
      <w:r w:rsidR="00470B41">
        <w:t>department</w:t>
      </w:r>
      <w:r>
        <w:t xml:space="preserve"> management is obtained. The sections below detail the reasons for a denial recommendation.</w:t>
      </w:r>
      <w:r w:rsidR="003B41A3">
        <w:t xml:space="preserve"> See also § </w:t>
      </w:r>
      <w:hyperlink r:id="rId74" w:history="1">
        <w:r w:rsidR="003B41A3" w:rsidRPr="00E20362">
          <w:rPr>
            <w:rStyle w:val="Hyperlink"/>
          </w:rPr>
          <w:t>62.1-44.15:21</w:t>
        </w:r>
      </w:hyperlink>
      <w:r w:rsidR="00E20362">
        <w:t>.</w:t>
      </w:r>
      <w:r w:rsidR="003B41A3">
        <w:t xml:space="preserve">E and </w:t>
      </w:r>
      <w:hyperlink r:id="rId75" w:history="1">
        <w:r w:rsidR="003B41A3" w:rsidRPr="00E20362">
          <w:rPr>
            <w:rStyle w:val="Hyperlink"/>
          </w:rPr>
          <w:t>9VAC25-210-230</w:t>
        </w:r>
      </w:hyperlink>
      <w:r w:rsidR="003B41A3">
        <w:t>.</w:t>
      </w:r>
    </w:p>
    <w:p w14:paraId="5406FA37" w14:textId="77777777" w:rsidR="00535EF0" w:rsidRDefault="00535EF0" w:rsidP="00B13266">
      <w:pPr>
        <w:pStyle w:val="Heading3"/>
        <w:keepNext w:val="0"/>
        <w:keepLines w:val="0"/>
        <w:widowControl w:val="0"/>
      </w:pPr>
      <w:bookmarkStart w:id="63" w:name="_Toc536434615"/>
      <w:bookmarkStart w:id="64" w:name="_Toc179189560"/>
      <w:r>
        <w:t>5.11.1 Bases for Denial</w:t>
      </w:r>
      <w:bookmarkEnd w:id="63"/>
      <w:bookmarkEnd w:id="64"/>
    </w:p>
    <w:p w14:paraId="2ABA028C" w14:textId="2158E0D1" w:rsidR="00B13266" w:rsidRDefault="00B13266" w:rsidP="00B13266">
      <w:pPr>
        <w:jc w:val="both"/>
      </w:pPr>
      <w:r>
        <w:t xml:space="preserve">Denials may be warranted when one or more of the situations </w:t>
      </w:r>
      <w:r w:rsidRPr="009C2884">
        <w:t xml:space="preserve">outlined in </w:t>
      </w:r>
      <w:hyperlink r:id="rId76" w:history="1">
        <w:r w:rsidRPr="00E20362">
          <w:rPr>
            <w:rStyle w:val="Hyperlink"/>
          </w:rPr>
          <w:t>9VAC25-210-230</w:t>
        </w:r>
      </w:hyperlink>
      <w:r w:rsidRPr="009C2884">
        <w:t xml:space="preserve"> exist,</w:t>
      </w:r>
      <w:r>
        <w:t xml:space="preserve"> or for other reasons deemed appropriate by VWP Permit Program managers; however, </w:t>
      </w:r>
      <w:r>
        <w:rPr>
          <w:i/>
        </w:rPr>
        <w:t>denials are not processed for the applicant’s failure to provide a complete application</w:t>
      </w:r>
      <w:r>
        <w:t xml:space="preserve">.  Some of the more likely reasons for denial include: </w:t>
      </w:r>
    </w:p>
    <w:p w14:paraId="3D008449" w14:textId="77777777" w:rsidR="00B13266" w:rsidRPr="00122908" w:rsidRDefault="00B13266" w:rsidP="00B13266">
      <w:pPr>
        <w:pStyle w:val="ListParagraph"/>
        <w:numPr>
          <w:ilvl w:val="0"/>
          <w:numId w:val="15"/>
        </w:numPr>
        <w:jc w:val="both"/>
        <w:rPr>
          <w:sz w:val="22"/>
          <w:szCs w:val="22"/>
        </w:rPr>
      </w:pPr>
      <w:r w:rsidRPr="00122908">
        <w:rPr>
          <w:sz w:val="22"/>
          <w:szCs w:val="22"/>
        </w:rPr>
        <w:t>The project will result in violations of water quality standards or will impair the beneficial uses of state waters.</w:t>
      </w:r>
    </w:p>
    <w:p w14:paraId="57DFACAD" w14:textId="77777777" w:rsidR="00B13266" w:rsidRPr="00122908" w:rsidRDefault="00B13266" w:rsidP="00B13266">
      <w:pPr>
        <w:pStyle w:val="ListParagraph"/>
        <w:numPr>
          <w:ilvl w:val="0"/>
          <w:numId w:val="15"/>
        </w:numPr>
        <w:jc w:val="both"/>
        <w:rPr>
          <w:sz w:val="22"/>
          <w:szCs w:val="22"/>
        </w:rPr>
      </w:pPr>
      <w:r w:rsidRPr="00122908">
        <w:rPr>
          <w:sz w:val="22"/>
          <w:szCs w:val="22"/>
        </w:rPr>
        <w:t>The project that the applicant proposed fails to adequately avoid and minimize impacts to state waters to the maximum extent practicable.</w:t>
      </w:r>
    </w:p>
    <w:p w14:paraId="3AF03F9E" w14:textId="77777777" w:rsidR="00B13266" w:rsidRPr="00122908" w:rsidRDefault="00B13266" w:rsidP="00B13266">
      <w:pPr>
        <w:pStyle w:val="ListParagraph"/>
        <w:numPr>
          <w:ilvl w:val="0"/>
          <w:numId w:val="15"/>
        </w:numPr>
        <w:jc w:val="both"/>
        <w:rPr>
          <w:sz w:val="22"/>
          <w:szCs w:val="22"/>
        </w:rPr>
      </w:pPr>
      <w:r w:rsidRPr="00122908">
        <w:rPr>
          <w:sz w:val="22"/>
          <w:szCs w:val="22"/>
        </w:rPr>
        <w:t>The proposed compensatory mitigation plan is insufficient or unsatisfactory and fails to achieve no net loss of existing wetland acreage and function and no net loss of functions in all surface waters.</w:t>
      </w:r>
    </w:p>
    <w:p w14:paraId="2DC550EA" w14:textId="77839BC1" w:rsidR="00B13266" w:rsidRDefault="00B13266" w:rsidP="00B13266">
      <w:pPr>
        <w:pStyle w:val="ListParagraph"/>
        <w:numPr>
          <w:ilvl w:val="0"/>
          <w:numId w:val="15"/>
        </w:numPr>
        <w:jc w:val="both"/>
        <w:rPr>
          <w:sz w:val="22"/>
          <w:szCs w:val="22"/>
        </w:rPr>
      </w:pPr>
      <w:r w:rsidRPr="00122908">
        <w:rPr>
          <w:sz w:val="22"/>
          <w:szCs w:val="22"/>
        </w:rPr>
        <w:t xml:space="preserve">The </w:t>
      </w:r>
      <w:r w:rsidR="002B16DC">
        <w:rPr>
          <w:sz w:val="22"/>
          <w:szCs w:val="22"/>
        </w:rPr>
        <w:t xml:space="preserve">Virginia </w:t>
      </w:r>
      <w:r w:rsidRPr="00122908">
        <w:rPr>
          <w:sz w:val="22"/>
          <w:szCs w:val="22"/>
        </w:rPr>
        <w:t xml:space="preserve">Department of </w:t>
      </w:r>
      <w:r w:rsidR="002B16DC">
        <w:rPr>
          <w:sz w:val="22"/>
          <w:szCs w:val="22"/>
        </w:rPr>
        <w:t>Wildlife Resources</w:t>
      </w:r>
      <w:r w:rsidR="00E63B6F">
        <w:rPr>
          <w:sz w:val="22"/>
          <w:szCs w:val="22"/>
        </w:rPr>
        <w:t xml:space="preserve"> (</w:t>
      </w:r>
      <w:r w:rsidR="00C55066">
        <w:rPr>
          <w:sz w:val="22"/>
          <w:szCs w:val="22"/>
        </w:rPr>
        <w:t>VDWR</w:t>
      </w:r>
      <w:r w:rsidR="00E63B6F">
        <w:rPr>
          <w:sz w:val="22"/>
          <w:szCs w:val="22"/>
        </w:rPr>
        <w:t>)</w:t>
      </w:r>
      <w:r w:rsidRPr="00122908">
        <w:rPr>
          <w:sz w:val="22"/>
          <w:szCs w:val="22"/>
        </w:rPr>
        <w:t xml:space="preserve"> indicates that natural or stockable trout waters would be permanently and negatively impacted by the proposed activity.</w:t>
      </w:r>
    </w:p>
    <w:p w14:paraId="05BDE38C" w14:textId="77777777" w:rsidR="00B13266" w:rsidRDefault="00B13266" w:rsidP="00B13266">
      <w:pPr>
        <w:pStyle w:val="ListParagraph"/>
        <w:numPr>
          <w:ilvl w:val="0"/>
          <w:numId w:val="15"/>
        </w:numPr>
        <w:jc w:val="both"/>
        <w:rPr>
          <w:sz w:val="22"/>
          <w:szCs w:val="22"/>
        </w:rPr>
      </w:pPr>
      <w:r w:rsidRPr="00122908">
        <w:rPr>
          <w:sz w:val="22"/>
          <w:szCs w:val="22"/>
        </w:rPr>
        <w:t>The effect of project impacts, together with other existing or proposed impacts to wetlands, will cause or contribute to a significant impairment of state waters or fish and wildlife resources.</w:t>
      </w:r>
    </w:p>
    <w:p w14:paraId="60CF30B9" w14:textId="77777777" w:rsidR="00535EF0" w:rsidRDefault="00535EF0" w:rsidP="00D62476">
      <w:pPr>
        <w:pStyle w:val="Heading3"/>
      </w:pPr>
      <w:bookmarkStart w:id="65" w:name="_Toc179189561"/>
      <w:r>
        <w:t>5.11.2 Notification to Applican</w:t>
      </w:r>
      <w:r w:rsidR="00D62476">
        <w:t>t</w:t>
      </w:r>
      <w:bookmarkEnd w:id="65"/>
    </w:p>
    <w:p w14:paraId="078D1243" w14:textId="209E5ADE" w:rsidR="00B13266" w:rsidRDefault="00B13266" w:rsidP="00B13266">
      <w:pPr>
        <w:jc w:val="both"/>
      </w:pPr>
      <w:r>
        <w:t xml:space="preserve">The first formal step in the process is a requirement that the applicant be notified, in writing, that a “preliminary decision to tentatively deny” the permit is being made by the </w:t>
      </w:r>
      <w:r w:rsidR="00470B41">
        <w:t>department</w:t>
      </w:r>
      <w:r>
        <w:t>.  Prepare the Notice of Preliminary Decision to Tentatively Deny letter, which includes:</w:t>
      </w:r>
    </w:p>
    <w:p w14:paraId="4A023AC7" w14:textId="77777777" w:rsidR="00B13266" w:rsidRPr="00122908" w:rsidRDefault="00B13266" w:rsidP="00B13266">
      <w:pPr>
        <w:pStyle w:val="ListParagraph"/>
        <w:numPr>
          <w:ilvl w:val="0"/>
          <w:numId w:val="16"/>
        </w:numPr>
        <w:jc w:val="both"/>
        <w:rPr>
          <w:sz w:val="22"/>
          <w:szCs w:val="22"/>
        </w:rPr>
      </w:pPr>
      <w:r w:rsidRPr="00122908">
        <w:rPr>
          <w:sz w:val="22"/>
          <w:szCs w:val="22"/>
        </w:rPr>
        <w:t>the reason for the recommendation, based on the VWP Permit Program regulation;</w:t>
      </w:r>
    </w:p>
    <w:p w14:paraId="5295C519" w14:textId="77777777" w:rsidR="00B13266" w:rsidRPr="00122908" w:rsidRDefault="00B13266" w:rsidP="00B13266">
      <w:pPr>
        <w:pStyle w:val="ListParagraph"/>
        <w:numPr>
          <w:ilvl w:val="0"/>
          <w:numId w:val="16"/>
        </w:numPr>
        <w:jc w:val="both"/>
        <w:rPr>
          <w:sz w:val="22"/>
          <w:szCs w:val="22"/>
        </w:rPr>
      </w:pPr>
      <w:r w:rsidRPr="00122908">
        <w:rPr>
          <w:sz w:val="22"/>
          <w:szCs w:val="22"/>
        </w:rPr>
        <w:t>a statement that the applicant has the option of withdrawing his/her application, in which case no permit will be issued; and</w:t>
      </w:r>
    </w:p>
    <w:p w14:paraId="56B743FF" w14:textId="2E40B537" w:rsidR="00B13266" w:rsidRPr="00D82560" w:rsidRDefault="00B13266" w:rsidP="00B13266">
      <w:pPr>
        <w:pStyle w:val="ListParagraph"/>
        <w:numPr>
          <w:ilvl w:val="0"/>
          <w:numId w:val="16"/>
        </w:numPr>
        <w:jc w:val="both"/>
      </w:pPr>
      <w:r w:rsidRPr="00122908">
        <w:rPr>
          <w:sz w:val="22"/>
          <w:szCs w:val="22"/>
        </w:rPr>
        <w:t xml:space="preserve">a statement that the applicant has the option of proceeding with the project application as proposed, in which case VWP staff will make a recommendation for denial to the </w:t>
      </w:r>
      <w:r w:rsidR="00470B41">
        <w:rPr>
          <w:sz w:val="22"/>
          <w:szCs w:val="22"/>
        </w:rPr>
        <w:t>DEQ Director</w:t>
      </w:r>
      <w:r w:rsidRPr="00122908">
        <w:rPr>
          <w:sz w:val="22"/>
          <w:szCs w:val="22"/>
        </w:rPr>
        <w:t>.</w:t>
      </w:r>
    </w:p>
    <w:p w14:paraId="4FB86766" w14:textId="71F611CE" w:rsidR="00B13266" w:rsidRPr="00D82560" w:rsidRDefault="00B13266" w:rsidP="00B13266">
      <w:pPr>
        <w:jc w:val="both"/>
      </w:pPr>
      <w:r w:rsidRPr="00573F3D">
        <w:t xml:space="preserve">This </w:t>
      </w:r>
      <w:r w:rsidRPr="00D82560">
        <w:t xml:space="preserve">notification letter </w:t>
      </w:r>
      <w:r w:rsidRPr="00573F3D">
        <w:t xml:space="preserve">should be signed by </w:t>
      </w:r>
      <w:r w:rsidRPr="00D82560">
        <w:t xml:space="preserve">the Regional Director or his/her delegate </w:t>
      </w:r>
      <w:r w:rsidRPr="00573F3D">
        <w:t xml:space="preserve">and sent </w:t>
      </w:r>
      <w:r w:rsidRPr="00D82560">
        <w:t xml:space="preserve">to the applicant </w:t>
      </w:r>
      <w:r w:rsidRPr="00573F3D">
        <w:t>via certified mail</w:t>
      </w:r>
      <w:r w:rsidRPr="00D82560">
        <w:t>.</w:t>
      </w:r>
      <w:r w:rsidR="004A25A3" w:rsidRPr="004A25A3">
        <w:t xml:space="preserve"> </w:t>
      </w:r>
      <w:r w:rsidR="00B271E5">
        <w:t>A</w:t>
      </w:r>
      <w:r w:rsidR="004A25A3">
        <w:t>lso notify staff counterparts at the USACE and VMRC.</w:t>
      </w:r>
    </w:p>
    <w:p w14:paraId="7063A51E" w14:textId="4DE0B3C2" w:rsidR="00B13266" w:rsidRPr="00B13266" w:rsidRDefault="00B13266" w:rsidP="00B13266">
      <w:pPr>
        <w:jc w:val="both"/>
      </w:pPr>
      <w:r>
        <w:t xml:space="preserve">After receiving the above notice, the applicant should notify the </w:t>
      </w:r>
      <w:r w:rsidR="00470B41">
        <w:t>department</w:t>
      </w:r>
      <w:r>
        <w:t xml:space="preserve"> in writing that they choose to either withdraw the application or proceed as originally proposed.  If the applicant’s decision is to withdraw the application, staff will no longer proceed with the denial process.  If the applicant elects to proceed with the project application as proposed, staff should continue with the denial process.</w:t>
      </w:r>
    </w:p>
    <w:p w14:paraId="39C273C6" w14:textId="77777777" w:rsidR="00535EF0" w:rsidRDefault="00535EF0" w:rsidP="00D62476">
      <w:pPr>
        <w:pStyle w:val="Heading3"/>
      </w:pPr>
      <w:bookmarkStart w:id="66" w:name="_Toc536434617"/>
      <w:bookmarkStart w:id="67" w:name="_Toc179189562"/>
      <w:r>
        <w:t>5.11.3 Public Notice to Deny Permit</w:t>
      </w:r>
      <w:bookmarkEnd w:id="66"/>
      <w:bookmarkEnd w:id="67"/>
    </w:p>
    <w:p w14:paraId="1032E26A" w14:textId="77777777" w:rsidR="007D2F7F" w:rsidRDefault="00B13266" w:rsidP="00B13266">
      <w:pPr>
        <w:jc w:val="both"/>
      </w:pPr>
      <w:r>
        <w:t xml:space="preserve">When an applicant chooses to proceed with the project application as </w:t>
      </w:r>
      <w:r w:rsidR="00890236">
        <w:t>proposed or</w:t>
      </w:r>
      <w:r>
        <w:t xml:space="preserve"> has not responded to the preliminary decision to tentatively deny, staff should prepare a Public Notice of the </w:t>
      </w:r>
      <w:r w:rsidR="00470B41">
        <w:t>department</w:t>
      </w:r>
      <w:r>
        <w:t xml:space="preserve">’s </w:t>
      </w:r>
      <w:r>
        <w:lastRenderedPageBreak/>
        <w:t xml:space="preserve">intent to deny the VWP individual permit.  The Public Notice should generally follow the form of a public notice for issuance except that it should clearly state </w:t>
      </w:r>
      <w:r w:rsidR="00470B41">
        <w:t xml:space="preserve">that </w:t>
      </w:r>
      <w:r>
        <w:t xml:space="preserve">the </w:t>
      </w:r>
      <w:r w:rsidR="00470B41">
        <w:t>department’s tentative decision is</w:t>
      </w:r>
      <w:r>
        <w:t xml:space="preserve"> to deny the permit and </w:t>
      </w:r>
      <w:r w:rsidR="00470B41">
        <w:t xml:space="preserve">include </w:t>
      </w:r>
      <w:r>
        <w:t>the applicable reason(s) for denial.</w:t>
      </w:r>
      <w:r w:rsidRPr="00022AD6">
        <w:t xml:space="preserve"> </w:t>
      </w:r>
    </w:p>
    <w:p w14:paraId="050E421D" w14:textId="0A153F5C" w:rsidR="009B1702" w:rsidRPr="00A2252E" w:rsidRDefault="00B13266" w:rsidP="00AA15B7">
      <w:pPr>
        <w:jc w:val="both"/>
        <w:rPr>
          <w:rFonts w:cstheme="minorHAnsi"/>
        </w:rPr>
      </w:pPr>
      <w:r w:rsidRPr="00A2252E">
        <w:rPr>
          <w:rFonts w:cstheme="minorHAnsi"/>
        </w:rPr>
        <w:t xml:space="preserve">The notice should be published in a newspaper having circulation in the project area and should be copied to </w:t>
      </w:r>
      <w:r w:rsidR="00470B41" w:rsidRPr="00A2252E">
        <w:rPr>
          <w:rFonts w:cstheme="minorHAnsi"/>
        </w:rPr>
        <w:t xml:space="preserve">the Directors of the Water </w:t>
      </w:r>
      <w:r w:rsidR="004A25A3" w:rsidRPr="00A2252E">
        <w:rPr>
          <w:rFonts w:cstheme="minorHAnsi"/>
        </w:rPr>
        <w:t xml:space="preserve">Permitting </w:t>
      </w:r>
      <w:r w:rsidR="00470B41" w:rsidRPr="00A2252E">
        <w:rPr>
          <w:rFonts w:cstheme="minorHAnsi"/>
        </w:rPr>
        <w:t>Division and Office of Regulatory Affairs</w:t>
      </w:r>
      <w:r w:rsidR="00E03791" w:rsidRPr="00A2252E">
        <w:rPr>
          <w:rFonts w:cstheme="minorHAnsi"/>
        </w:rPr>
        <w:t xml:space="preserve"> &amp; Outreach</w:t>
      </w:r>
      <w:r w:rsidRPr="00A2252E">
        <w:rPr>
          <w:rFonts w:cstheme="minorHAnsi"/>
        </w:rPr>
        <w:t xml:space="preserve"> at DEQ-Central Office. </w:t>
      </w:r>
      <w:r w:rsidRPr="00A2252E">
        <w:rPr>
          <w:rFonts w:cstheme="minorHAnsi"/>
          <w:i/>
        </w:rPr>
        <w:t>Note: DEQ pays for the publishing costs associated with a Public Notice of Intent to Deny Permit</w:t>
      </w:r>
      <w:r w:rsidRPr="003B1A99">
        <w:rPr>
          <w:rFonts w:cstheme="minorHAnsi"/>
          <w:i/>
        </w:rPr>
        <w:t>.</w:t>
      </w:r>
      <w:r w:rsidRPr="002C4DBC">
        <w:rPr>
          <w:rFonts w:cstheme="minorHAnsi"/>
          <w:i/>
        </w:rPr>
        <w:t xml:space="preserve"> </w:t>
      </w:r>
      <w:r w:rsidR="005C42EB" w:rsidRPr="002C4DBC">
        <w:rPr>
          <w:rFonts w:cstheme="minorHAnsi"/>
          <w:i/>
        </w:rPr>
        <w:t>C</w:t>
      </w:r>
      <w:r w:rsidR="005C42EB" w:rsidRPr="00A2252E">
        <w:rPr>
          <w:rFonts w:cstheme="minorHAnsi"/>
          <w:i/>
        </w:rPr>
        <w:t>onsult with your office’s accounting department</w:t>
      </w:r>
      <w:r w:rsidR="005C42EB">
        <w:rPr>
          <w:rFonts w:cstheme="minorHAnsi"/>
          <w:i/>
        </w:rPr>
        <w:t xml:space="preserve"> or Office Manager</w:t>
      </w:r>
      <w:r w:rsidR="005C42EB" w:rsidRPr="00A2252E">
        <w:rPr>
          <w:rFonts w:cstheme="minorHAnsi"/>
          <w:i/>
        </w:rPr>
        <w:t xml:space="preserve"> </w:t>
      </w:r>
      <w:r w:rsidR="005C42EB">
        <w:rPr>
          <w:rFonts w:cstheme="minorHAnsi"/>
          <w:i/>
        </w:rPr>
        <w:t>if you have questions about</w:t>
      </w:r>
      <w:r w:rsidR="005C42EB" w:rsidRPr="00A2252E">
        <w:rPr>
          <w:rFonts w:cstheme="minorHAnsi"/>
          <w:i/>
        </w:rPr>
        <w:t xml:space="preserve"> process</w:t>
      </w:r>
      <w:r w:rsidR="005C42EB">
        <w:rPr>
          <w:rFonts w:cstheme="minorHAnsi"/>
          <w:i/>
        </w:rPr>
        <w:t>ing</w:t>
      </w:r>
      <w:r w:rsidR="005C42EB" w:rsidRPr="00A2252E">
        <w:rPr>
          <w:rFonts w:cstheme="minorHAnsi"/>
          <w:i/>
        </w:rPr>
        <w:t xml:space="preserve"> the payment for the advertisement.</w:t>
      </w:r>
      <w:r w:rsidR="005C42EB">
        <w:rPr>
          <w:rFonts w:cstheme="minorHAnsi"/>
          <w:i/>
        </w:rPr>
        <w:t xml:space="preserve"> </w:t>
      </w:r>
      <w:r w:rsidR="00A2252E" w:rsidRPr="003B1A99">
        <w:rPr>
          <w:rFonts w:eastAsia="Times New Roman" w:cstheme="minorHAnsi"/>
          <w:i/>
          <w:color w:val="000000"/>
        </w:rPr>
        <w:t>N</w:t>
      </w:r>
      <w:r w:rsidR="000212C5" w:rsidRPr="003B1A99">
        <w:rPr>
          <w:rFonts w:eastAsia="Times New Roman" w:cstheme="minorHAnsi"/>
          <w:i/>
          <w:color w:val="000000"/>
        </w:rPr>
        <w:t>ewspaper advertisements are procurements for which an approved requisition needs to be submitted to the OPS Mailbox</w:t>
      </w:r>
      <w:r w:rsidR="00D55E18">
        <w:rPr>
          <w:rFonts w:eastAsia="Times New Roman" w:cstheme="minorHAnsi"/>
          <w:i/>
          <w:color w:val="000000"/>
        </w:rPr>
        <w:t xml:space="preserve">. Per the </w:t>
      </w:r>
      <w:hyperlink r:id="rId77" w:history="1">
        <w:r w:rsidR="0053403F" w:rsidRPr="00FC3C8B">
          <w:rPr>
            <w:rStyle w:val="Hyperlink"/>
            <w:rFonts w:eastAsia="Times New Roman" w:cstheme="minorHAnsi"/>
            <w:i/>
          </w:rPr>
          <w:t>DEQ Procurement Procedures Manual</w:t>
        </w:r>
      </w:hyperlink>
      <w:r w:rsidR="0053403F">
        <w:rPr>
          <w:rFonts w:eastAsia="Times New Roman" w:cstheme="minorHAnsi"/>
          <w:i/>
          <w:color w:val="000000"/>
        </w:rPr>
        <w:t xml:space="preserve">, the requisition </w:t>
      </w:r>
      <w:r w:rsidR="000502E0">
        <w:rPr>
          <w:rFonts w:eastAsia="Times New Roman" w:cstheme="minorHAnsi"/>
          <w:i/>
          <w:color w:val="000000"/>
        </w:rPr>
        <w:t xml:space="preserve">must be approved prior to placing the ad. </w:t>
      </w:r>
      <w:r w:rsidR="00FA46AA">
        <w:rPr>
          <w:rFonts w:eastAsia="Times New Roman" w:cstheme="minorHAnsi"/>
          <w:i/>
          <w:color w:val="000000"/>
        </w:rPr>
        <w:t xml:space="preserve">If the final cost of the ad is not known </w:t>
      </w:r>
      <w:r w:rsidR="004B1A3B">
        <w:rPr>
          <w:rFonts w:eastAsia="Times New Roman" w:cstheme="minorHAnsi"/>
          <w:i/>
          <w:color w:val="000000"/>
        </w:rPr>
        <w:t xml:space="preserve">at the time of </w:t>
      </w:r>
      <w:r w:rsidR="005A410E">
        <w:rPr>
          <w:rFonts w:eastAsia="Times New Roman" w:cstheme="minorHAnsi"/>
          <w:i/>
          <w:color w:val="000000"/>
        </w:rPr>
        <w:t xml:space="preserve">getting the requisition approved, </w:t>
      </w:r>
      <w:r w:rsidR="00A62C60">
        <w:rPr>
          <w:rFonts w:eastAsia="Times New Roman" w:cstheme="minorHAnsi"/>
          <w:i/>
          <w:color w:val="000000"/>
        </w:rPr>
        <w:t xml:space="preserve">one way to complete the requisition is </w:t>
      </w:r>
      <w:r w:rsidR="002E2D84">
        <w:rPr>
          <w:rFonts w:eastAsia="Times New Roman" w:cstheme="minorHAnsi"/>
          <w:i/>
          <w:color w:val="000000"/>
        </w:rPr>
        <w:t>by using an estimated</w:t>
      </w:r>
      <w:r w:rsidR="005A410E">
        <w:rPr>
          <w:rFonts w:eastAsia="Times New Roman" w:cstheme="minorHAnsi"/>
          <w:i/>
          <w:color w:val="000000"/>
        </w:rPr>
        <w:t xml:space="preserve"> total cost</w:t>
      </w:r>
      <w:r w:rsidR="002E2D84">
        <w:rPr>
          <w:rFonts w:eastAsia="Times New Roman" w:cstheme="minorHAnsi"/>
          <w:i/>
          <w:color w:val="000000"/>
        </w:rPr>
        <w:t>, entered as</w:t>
      </w:r>
      <w:r w:rsidR="005F59C2">
        <w:rPr>
          <w:rFonts w:eastAsia="Times New Roman" w:cstheme="minorHAnsi"/>
          <w:i/>
          <w:color w:val="000000"/>
        </w:rPr>
        <w:t xml:space="preserve"> a value higher than the anticipated actual cost</w:t>
      </w:r>
      <w:r w:rsidR="000F38E1">
        <w:rPr>
          <w:rFonts w:eastAsia="Times New Roman" w:cstheme="minorHAnsi"/>
          <w:i/>
          <w:color w:val="000000"/>
        </w:rPr>
        <w:t xml:space="preserve"> and not</w:t>
      </w:r>
      <w:r w:rsidR="002E2D84">
        <w:rPr>
          <w:rFonts w:eastAsia="Times New Roman" w:cstheme="minorHAnsi"/>
          <w:i/>
          <w:color w:val="000000"/>
        </w:rPr>
        <w:t>ing</w:t>
      </w:r>
      <w:r w:rsidR="000F38E1">
        <w:rPr>
          <w:rFonts w:eastAsia="Times New Roman" w:cstheme="minorHAnsi"/>
          <w:i/>
          <w:color w:val="000000"/>
        </w:rPr>
        <w:t xml:space="preserve"> it is a ‘not to exceed’ </w:t>
      </w:r>
      <w:r w:rsidR="00B74FE6">
        <w:rPr>
          <w:rFonts w:eastAsia="Times New Roman" w:cstheme="minorHAnsi"/>
          <w:i/>
          <w:color w:val="000000"/>
        </w:rPr>
        <w:t xml:space="preserve">amount. </w:t>
      </w:r>
      <w:r w:rsidR="002C4DBC" w:rsidRPr="002C4DBC">
        <w:rPr>
          <w:rFonts w:eastAsia="Times New Roman" w:cstheme="minorHAnsi"/>
          <w:i/>
          <w:color w:val="000000"/>
        </w:rPr>
        <w:t>T</w:t>
      </w:r>
      <w:r w:rsidR="0011113E">
        <w:rPr>
          <w:rFonts w:eastAsia="Times New Roman" w:cstheme="minorHAnsi"/>
          <w:i/>
          <w:color w:val="000000"/>
        </w:rPr>
        <w:t xml:space="preserve">he DEQ </w:t>
      </w:r>
      <w:r w:rsidR="002C4DBC" w:rsidRPr="003B1A99">
        <w:rPr>
          <w:rFonts w:eastAsia="Times New Roman" w:cstheme="minorHAnsi"/>
          <w:i/>
          <w:color w:val="000000"/>
        </w:rPr>
        <w:t>Regional Office Manager is</w:t>
      </w:r>
      <w:r w:rsidR="005504DE">
        <w:rPr>
          <w:rFonts w:eastAsia="Times New Roman" w:cstheme="minorHAnsi"/>
          <w:i/>
          <w:color w:val="000000"/>
        </w:rPr>
        <w:t xml:space="preserve"> often</w:t>
      </w:r>
      <w:r w:rsidR="002C4DBC" w:rsidRPr="003B1A99">
        <w:rPr>
          <w:rFonts w:eastAsia="Times New Roman" w:cstheme="minorHAnsi"/>
          <w:i/>
          <w:color w:val="000000"/>
        </w:rPr>
        <w:t xml:space="preserve"> responsible for ordering the advertisement and paying for the advertisement with the small purchase charge card (if the newspaper accepts credit card payments)</w:t>
      </w:r>
      <w:r w:rsidR="002C4DBC">
        <w:rPr>
          <w:rFonts w:eastAsia="Times New Roman" w:cstheme="minorHAnsi"/>
          <w:i/>
          <w:color w:val="000000"/>
        </w:rPr>
        <w:t>.</w:t>
      </w:r>
      <w:r w:rsidR="00A2252E" w:rsidRPr="003B1A99">
        <w:rPr>
          <w:rFonts w:eastAsia="Times New Roman" w:cstheme="minorHAnsi"/>
          <w:i/>
          <w:color w:val="000000"/>
        </w:rPr>
        <w:t xml:space="preserve"> </w:t>
      </w:r>
    </w:p>
    <w:p w14:paraId="54ABB32D" w14:textId="7087A001" w:rsidR="008601AF" w:rsidRDefault="00B13266" w:rsidP="00B13266">
      <w:pPr>
        <w:jc w:val="both"/>
      </w:pPr>
      <w:r>
        <w:t xml:space="preserve">If a public hearing is requested as a result of the Public Notice of Intent to Deny Permit, follow the </w:t>
      </w:r>
      <w:r w:rsidR="000243C0">
        <w:t xml:space="preserve">most recent version of </w:t>
      </w:r>
      <w:hyperlink r:id="rId78" w:history="1">
        <w:r w:rsidR="000243C0" w:rsidRPr="00333220">
          <w:rPr>
            <w:rStyle w:val="Hyperlink"/>
          </w:rPr>
          <w:t>“Public Hearing Procedures for Permitting Decisions [9.23.22].pdf”</w:t>
        </w:r>
      </w:hyperlink>
      <w:r w:rsidR="000243C0">
        <w:t xml:space="preserve">, as well as </w:t>
      </w:r>
      <w:hyperlink r:id="rId79" w:history="1">
        <w:r w:rsidR="000243C0" w:rsidRPr="00BE1E15">
          <w:rPr>
            <w:rStyle w:val="Hyperlink"/>
          </w:rPr>
          <w:t>9VAC25-210-140 through -174</w:t>
        </w:r>
      </w:hyperlink>
      <w:r w:rsidRPr="00027394">
        <w:t>.</w:t>
      </w:r>
    </w:p>
    <w:p w14:paraId="7D2207ED" w14:textId="519AD7A6" w:rsidR="00B13266" w:rsidRDefault="008601AF" w:rsidP="00B13266">
      <w:pPr>
        <w:jc w:val="both"/>
      </w:pPr>
      <w:r>
        <w:t>When developing the public notice for a public hearing, a beginning time is always included, but an ending time may not be. If there is a specific reason to include an ending time, such as a venue requires vacating the premises by a certain time, then include that in the notice. Otherwise, consider carefully before adding an ending time. If an ending time is listed in the notice, DEQ is required to remain until that ending time.</w:t>
      </w:r>
    </w:p>
    <w:p w14:paraId="1D971632" w14:textId="67835E22" w:rsidR="00B13266" w:rsidRPr="00B13266" w:rsidRDefault="00470B41" w:rsidP="00B13266">
      <w:pPr>
        <w:jc w:val="both"/>
      </w:pPr>
      <w:r>
        <w:t>If</w:t>
      </w:r>
      <w:r w:rsidR="00B13266">
        <w:t xml:space="preserve"> no requests for a public hearing are received as a result of the public notice of the proposed denial, the applicant should be offered, in writing, an Informal Fact Finding (IFF) proceeding as described in § </w:t>
      </w:r>
      <w:hyperlink r:id="rId80" w:history="1">
        <w:r w:rsidR="00B13266" w:rsidRPr="004E3888">
          <w:rPr>
            <w:rStyle w:val="Hyperlink"/>
          </w:rPr>
          <w:t>2.2-4019</w:t>
        </w:r>
      </w:hyperlink>
      <w:r w:rsidR="00B13266">
        <w:t xml:space="preserve"> of the Code of Virginia.  If no IFF is requested by the applicant, the permit </w:t>
      </w:r>
      <w:r w:rsidR="00882AB8">
        <w:t xml:space="preserve">application </w:t>
      </w:r>
      <w:r>
        <w:t>is</w:t>
      </w:r>
      <w:r w:rsidR="00B13266">
        <w:t xml:space="preserve"> denied by the </w:t>
      </w:r>
      <w:r>
        <w:t>DEQ Director</w:t>
      </w:r>
      <w:r w:rsidR="00B13266">
        <w:t xml:space="preserve">.  However, if the applicant does request an IFF, special procedures beyond the scope of this manual apply and should be thoroughly coordinated with </w:t>
      </w:r>
      <w:r>
        <w:t>department</w:t>
      </w:r>
      <w:r w:rsidR="00B13266">
        <w:t xml:space="preserve"> management.</w:t>
      </w:r>
    </w:p>
    <w:p w14:paraId="24063B15" w14:textId="7BE2BAD9" w:rsidR="00A11246" w:rsidRPr="00106DDF" w:rsidRDefault="00A11246" w:rsidP="002D03D1">
      <w:pPr>
        <w:jc w:val="both"/>
      </w:pPr>
    </w:p>
    <w:sectPr w:rsidR="00A11246" w:rsidRPr="00106DDF">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1114" w14:textId="77777777" w:rsidR="00A958A4" w:rsidRDefault="00A958A4" w:rsidP="005E7EE3">
      <w:pPr>
        <w:spacing w:after="0" w:line="240" w:lineRule="auto"/>
      </w:pPr>
      <w:r>
        <w:separator/>
      </w:r>
    </w:p>
  </w:endnote>
  <w:endnote w:type="continuationSeparator" w:id="0">
    <w:p w14:paraId="31599761" w14:textId="77777777" w:rsidR="00A958A4" w:rsidRDefault="00A958A4" w:rsidP="005E7EE3">
      <w:pPr>
        <w:spacing w:after="0" w:line="240" w:lineRule="auto"/>
      </w:pPr>
      <w:r>
        <w:continuationSeparator/>
      </w:r>
    </w:p>
  </w:endnote>
  <w:endnote w:type="continuationNotice" w:id="1">
    <w:p w14:paraId="10C99F7A" w14:textId="77777777" w:rsidR="00A958A4" w:rsidRDefault="00A95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1DE2" w14:textId="1D008275" w:rsidR="00FC24A4" w:rsidRPr="008B362C" w:rsidRDefault="00C448D0">
    <w:pPr>
      <w:pStyle w:val="Footer"/>
      <w:rPr>
        <w:sz w:val="20"/>
        <w:szCs w:val="20"/>
      </w:rPr>
    </w:pPr>
    <w:r>
      <w:rPr>
        <w:sz w:val="20"/>
        <w:szCs w:val="20"/>
      </w:rPr>
      <w:t>October</w:t>
    </w:r>
    <w:r w:rsidR="0016724B">
      <w:rPr>
        <w:sz w:val="20"/>
        <w:szCs w:val="20"/>
      </w:rPr>
      <w:t xml:space="preserve"> 2024</w:t>
    </w:r>
    <w:r w:rsidR="00FC24A4">
      <w:rPr>
        <w:sz w:val="20"/>
        <w:szCs w:val="20"/>
      </w:rPr>
      <w:tab/>
    </w:r>
    <w:r w:rsidR="00FC24A4">
      <w:rPr>
        <w:sz w:val="20"/>
        <w:szCs w:val="20"/>
      </w:rPr>
      <w:tab/>
    </w:r>
    <w:r w:rsidR="00FC24A4" w:rsidRPr="008B362C">
      <w:rPr>
        <w:sz w:val="20"/>
        <w:szCs w:val="20"/>
      </w:rPr>
      <w:fldChar w:fldCharType="begin"/>
    </w:r>
    <w:r w:rsidR="00FC24A4" w:rsidRPr="008B362C">
      <w:rPr>
        <w:sz w:val="20"/>
        <w:szCs w:val="20"/>
      </w:rPr>
      <w:instrText xml:space="preserve"> PAGE   \* MERGEFORMAT </w:instrText>
    </w:r>
    <w:r w:rsidR="00FC24A4" w:rsidRPr="008B362C">
      <w:rPr>
        <w:sz w:val="20"/>
        <w:szCs w:val="20"/>
      </w:rPr>
      <w:fldChar w:fldCharType="separate"/>
    </w:r>
    <w:r w:rsidR="00C80863">
      <w:rPr>
        <w:noProof/>
        <w:sz w:val="20"/>
        <w:szCs w:val="20"/>
      </w:rPr>
      <w:t>2</w:t>
    </w:r>
    <w:r w:rsidR="00FC24A4" w:rsidRPr="008B362C">
      <w:rPr>
        <w:noProof/>
        <w:sz w:val="20"/>
        <w:szCs w:val="20"/>
      </w:rPr>
      <w:fldChar w:fldCharType="end"/>
    </w:r>
  </w:p>
  <w:p w14:paraId="1A3351F4" w14:textId="77777777" w:rsidR="00FC24A4" w:rsidRDefault="00FC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465D" w14:textId="77777777" w:rsidR="00A958A4" w:rsidRDefault="00A958A4" w:rsidP="005E7EE3">
      <w:pPr>
        <w:spacing w:after="0" w:line="240" w:lineRule="auto"/>
      </w:pPr>
      <w:r>
        <w:separator/>
      </w:r>
    </w:p>
  </w:footnote>
  <w:footnote w:type="continuationSeparator" w:id="0">
    <w:p w14:paraId="59C9FFD0" w14:textId="77777777" w:rsidR="00A958A4" w:rsidRDefault="00A958A4" w:rsidP="005E7EE3">
      <w:pPr>
        <w:spacing w:after="0" w:line="240" w:lineRule="auto"/>
      </w:pPr>
      <w:r>
        <w:continuationSeparator/>
      </w:r>
    </w:p>
  </w:footnote>
  <w:footnote w:type="continuationNotice" w:id="1">
    <w:p w14:paraId="65C83CAC" w14:textId="77777777" w:rsidR="00A958A4" w:rsidRDefault="00A958A4">
      <w:pPr>
        <w:spacing w:after="0" w:line="240" w:lineRule="auto"/>
      </w:pPr>
    </w:p>
  </w:footnote>
  <w:footnote w:id="2">
    <w:p w14:paraId="6D2A71D1" w14:textId="6C4C74A1" w:rsidR="00FC24A4" w:rsidRDefault="00FC24A4">
      <w:pPr>
        <w:pStyle w:val="FootnoteText"/>
      </w:pPr>
      <w:r>
        <w:rPr>
          <w:rStyle w:val="FootnoteReference"/>
        </w:rPr>
        <w:footnoteRef/>
      </w:r>
      <w:r>
        <w:t xml:space="preserve"> See Section 3.2 of this manual for note about communications and FOIA.</w:t>
      </w:r>
    </w:p>
  </w:footnote>
  <w:footnote w:id="3">
    <w:p w14:paraId="35A2B1D7" w14:textId="0422D651" w:rsidR="00FC24A4" w:rsidRDefault="00FC24A4">
      <w:pPr>
        <w:pStyle w:val="FootnoteText"/>
      </w:pPr>
      <w:r>
        <w:rPr>
          <w:rStyle w:val="FootnoteReference"/>
        </w:rPr>
        <w:footnoteRef/>
      </w:r>
      <w:r>
        <w:t xml:space="preserve"> Ibid.</w:t>
      </w:r>
    </w:p>
  </w:footnote>
  <w:footnote w:id="4">
    <w:p w14:paraId="2337E656" w14:textId="316A099F" w:rsidR="00FC24A4" w:rsidRDefault="00FC24A4" w:rsidP="005E7EE3">
      <w:pPr>
        <w:pStyle w:val="FootnoteText"/>
      </w:pPr>
      <w:r>
        <w:rPr>
          <w:rStyle w:val="FootnoteReference"/>
        </w:rPr>
        <w:footnoteRef/>
      </w:r>
      <w:r>
        <w:t xml:space="preserve"> </w:t>
      </w:r>
      <w:r w:rsidRPr="00EA7D54">
        <w:rPr>
          <w:sz w:val="18"/>
          <w:szCs w:val="18"/>
        </w:rPr>
        <w:t xml:space="preserve">Criteria for Newspapers of General Circulation. Code of Virginia § </w:t>
      </w:r>
      <w:hyperlink r:id="rId1" w:history="1">
        <w:r w:rsidRPr="00544EA5">
          <w:rPr>
            <w:rStyle w:val="Hyperlink"/>
            <w:sz w:val="18"/>
            <w:szCs w:val="18"/>
          </w:rPr>
          <w:t>8.01-324</w:t>
        </w:r>
      </w:hyperlink>
      <w:r w:rsidRPr="00EA7D54">
        <w:rPr>
          <w:sz w:val="18"/>
          <w:szCs w:val="18"/>
        </w:rPr>
        <w:t>.</w:t>
      </w:r>
    </w:p>
  </w:footnote>
  <w:footnote w:id="5">
    <w:p w14:paraId="0D2E15AB" w14:textId="515535CE" w:rsidR="00FC24A4" w:rsidRDefault="00FC24A4">
      <w:pPr>
        <w:pStyle w:val="FootnoteText"/>
      </w:pPr>
      <w:r>
        <w:rPr>
          <w:rStyle w:val="FootnoteReference"/>
        </w:rPr>
        <w:footnoteRef/>
      </w:r>
      <w:r>
        <w:t xml:space="preserve"> </w:t>
      </w:r>
      <w:r w:rsidRPr="00DC2F8F">
        <w:rPr>
          <w:sz w:val="18"/>
          <w:szCs w:val="18"/>
        </w:rPr>
        <w:t xml:space="preserve">Please see </w:t>
      </w:r>
      <w:r>
        <w:rPr>
          <w:sz w:val="18"/>
          <w:szCs w:val="18"/>
        </w:rPr>
        <w:t xml:space="preserve">the email in </w:t>
      </w:r>
      <w:r w:rsidRPr="00DC2F8F">
        <w:rPr>
          <w:sz w:val="18"/>
          <w:szCs w:val="18"/>
        </w:rPr>
        <w:t>Chapter 5 References</w:t>
      </w:r>
      <w:r>
        <w:rPr>
          <w:sz w:val="18"/>
          <w:szCs w:val="18"/>
        </w:rPr>
        <w:t xml:space="preserve"> subfolder on DEQnet for further information regarding</w:t>
      </w:r>
      <w:r w:rsidRPr="00DC2F8F">
        <w:rPr>
          <w:sz w:val="18"/>
          <w:szCs w:val="18"/>
        </w:rPr>
        <w:t xml:space="preserve"> less than 25 requests.</w:t>
      </w:r>
    </w:p>
  </w:footnote>
  <w:footnote w:id="6">
    <w:p w14:paraId="06135166" w14:textId="358A83AE" w:rsidR="008B0D6D" w:rsidRPr="008B0D6D" w:rsidRDefault="008B0D6D">
      <w:pPr>
        <w:pStyle w:val="FootnoteText"/>
      </w:pPr>
      <w:r w:rsidRPr="008B0D6D">
        <w:rPr>
          <w:rStyle w:val="FootnoteReference"/>
        </w:rPr>
        <w:footnoteRef/>
      </w:r>
      <w:r w:rsidRPr="008B0D6D">
        <w:t xml:space="preserve"> </w:t>
      </w:r>
      <w:r w:rsidRPr="004D14A2">
        <w:rPr>
          <w:rStyle w:val="Hyperlink"/>
          <w:color w:val="auto"/>
          <w:sz w:val="18"/>
          <w:szCs w:val="18"/>
          <w:u w:val="none"/>
        </w:rPr>
        <w:t xml:space="preserve">Guidance Memorandum 11-2005 – rescinded for VWP </w:t>
      </w:r>
      <w:r w:rsidR="00E96DC4" w:rsidRPr="004D14A2">
        <w:rPr>
          <w:rStyle w:val="Hyperlink"/>
          <w:color w:val="auto"/>
          <w:sz w:val="18"/>
          <w:szCs w:val="18"/>
          <w:u w:val="none"/>
        </w:rPr>
        <w:t xml:space="preserve">Permit Program </w:t>
      </w:r>
      <w:r w:rsidRPr="004D14A2">
        <w:rPr>
          <w:rStyle w:val="Hyperlink"/>
          <w:color w:val="auto"/>
          <w:sz w:val="18"/>
          <w:szCs w:val="18"/>
          <w:u w:val="none"/>
        </w:rPr>
        <w:t>only</w:t>
      </w:r>
      <w:r w:rsidR="00E96DC4" w:rsidRPr="004D14A2">
        <w:rPr>
          <w:rStyle w:val="Hyperlink"/>
          <w:color w:val="auto"/>
          <w:sz w:val="18"/>
          <w:szCs w:val="18"/>
          <w:u w:val="none"/>
        </w:rPr>
        <w:t>,</w:t>
      </w:r>
      <w:r w:rsidRPr="004D14A2">
        <w:rPr>
          <w:rStyle w:val="Hyperlink"/>
          <w:color w:val="auto"/>
          <w:sz w:val="18"/>
          <w:szCs w:val="18"/>
          <w:u w:val="none"/>
        </w:rPr>
        <w:t xml:space="preserve"> replaced by </w:t>
      </w:r>
      <w:r w:rsidR="00E96DC4" w:rsidRPr="004D14A2">
        <w:rPr>
          <w:rStyle w:val="Hyperlink"/>
          <w:color w:val="auto"/>
          <w:sz w:val="18"/>
          <w:szCs w:val="18"/>
          <w:u w:val="none"/>
        </w:rPr>
        <w:t>DEQ Guidance Memorandum</w:t>
      </w:r>
      <w:r w:rsidRPr="004D14A2">
        <w:rPr>
          <w:rStyle w:val="Hyperlink"/>
          <w:color w:val="auto"/>
          <w:sz w:val="18"/>
          <w:szCs w:val="18"/>
          <w:u w:val="none"/>
        </w:rPr>
        <w:t xml:space="preserve"> GM16-2007</w:t>
      </w:r>
      <w:r w:rsidR="00E96DC4" w:rsidRPr="004D14A2">
        <w:rPr>
          <w:rStyle w:val="Hyperlink"/>
          <w:color w:val="auto"/>
          <w:sz w:val="18"/>
          <w:szCs w:val="18"/>
          <w:u w:val="none"/>
        </w:rPr>
        <w:t xml:space="preserve">, replaced by DEQ Guidance Memorandum </w:t>
      </w:r>
      <w:r w:rsidR="004D14A2" w:rsidRPr="004D14A2">
        <w:rPr>
          <w:rStyle w:val="Hyperlink"/>
          <w:color w:val="auto"/>
          <w:sz w:val="18"/>
          <w:szCs w:val="18"/>
          <w:u w:val="none"/>
        </w:rPr>
        <w:t>24-2005.</w:t>
      </w:r>
    </w:p>
  </w:footnote>
  <w:footnote w:id="7">
    <w:p w14:paraId="2443D445" w14:textId="72506B2E" w:rsidR="00981119" w:rsidRPr="00981119" w:rsidRDefault="00981119">
      <w:pPr>
        <w:pStyle w:val="FootnoteText"/>
      </w:pPr>
      <w:r w:rsidRPr="00981119">
        <w:rPr>
          <w:rStyle w:val="FootnoteReference"/>
        </w:rPr>
        <w:footnoteRef/>
      </w:r>
      <w:r w:rsidRPr="00981119">
        <w:t xml:space="preserve"> Graphic source: https://thefloodhub.co.uk/news/the-flood-hubs-riparian-owner-campaign/</w:t>
      </w:r>
    </w:p>
  </w:footnote>
  <w:footnote w:id="8">
    <w:p w14:paraId="6891382A" w14:textId="77777777" w:rsidR="003F7DBE" w:rsidRDefault="003F7DBE" w:rsidP="003F7DBE">
      <w:pPr>
        <w:pStyle w:val="FootnoteText"/>
      </w:pPr>
      <w:r>
        <w:rPr>
          <w:rStyle w:val="FootnoteReference"/>
        </w:rPr>
        <w:footnoteRef/>
      </w:r>
      <w:r>
        <w:t xml:space="preserve"> See Section 3.2 of this manual for note about communications and FOIA.</w:t>
      </w:r>
    </w:p>
  </w:footnote>
  <w:footnote w:id="9">
    <w:p w14:paraId="237B9304" w14:textId="77777777" w:rsidR="003A5C84" w:rsidRDefault="003A5C84" w:rsidP="003A5C84">
      <w:pPr>
        <w:pStyle w:val="FootnoteText"/>
      </w:pPr>
      <w:r>
        <w:rPr>
          <w:rStyle w:val="FootnoteReference"/>
        </w:rPr>
        <w:footnoteRef/>
      </w:r>
      <w:r>
        <w:t xml:space="preserve"> Ibid.</w:t>
      </w:r>
    </w:p>
  </w:footnote>
  <w:footnote w:id="10">
    <w:p w14:paraId="56C3C084" w14:textId="77777777" w:rsidR="003A5C84" w:rsidRDefault="003A5C84" w:rsidP="003A5C84">
      <w:pPr>
        <w:pStyle w:val="FootnoteText"/>
      </w:pPr>
      <w:r>
        <w:rPr>
          <w:rStyle w:val="FootnoteReference"/>
        </w:rPr>
        <w:footnoteRef/>
      </w:r>
      <w:r>
        <w:t xml:space="preserve"> See Section 3.2 of this manual for note about communications and FOIA. See also Chapter 2 and 2007 MOU in Chapter 5 References.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464"/>
    <w:multiLevelType w:val="hybridMultilevel"/>
    <w:tmpl w:val="91BE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0458D"/>
    <w:multiLevelType w:val="hybridMultilevel"/>
    <w:tmpl w:val="53427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E6408"/>
    <w:multiLevelType w:val="hybridMultilevel"/>
    <w:tmpl w:val="E9BA2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06421"/>
    <w:multiLevelType w:val="hybridMultilevel"/>
    <w:tmpl w:val="7268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667D2"/>
    <w:multiLevelType w:val="hybridMultilevel"/>
    <w:tmpl w:val="D206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32A3D"/>
    <w:multiLevelType w:val="hybridMultilevel"/>
    <w:tmpl w:val="29A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86BBC"/>
    <w:multiLevelType w:val="hybridMultilevel"/>
    <w:tmpl w:val="6FB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B15BC"/>
    <w:multiLevelType w:val="hybridMultilevel"/>
    <w:tmpl w:val="D47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C273D"/>
    <w:multiLevelType w:val="hybridMultilevel"/>
    <w:tmpl w:val="2C6C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3528"/>
    <w:multiLevelType w:val="hybridMultilevel"/>
    <w:tmpl w:val="0C08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E4969"/>
    <w:multiLevelType w:val="hybridMultilevel"/>
    <w:tmpl w:val="16C00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3567C"/>
    <w:multiLevelType w:val="hybridMultilevel"/>
    <w:tmpl w:val="2B1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65BF1"/>
    <w:multiLevelType w:val="hybridMultilevel"/>
    <w:tmpl w:val="657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800F9"/>
    <w:multiLevelType w:val="hybridMultilevel"/>
    <w:tmpl w:val="3E0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8104E"/>
    <w:multiLevelType w:val="hybridMultilevel"/>
    <w:tmpl w:val="467E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73BCB"/>
    <w:multiLevelType w:val="hybridMultilevel"/>
    <w:tmpl w:val="0908C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444DA"/>
    <w:multiLevelType w:val="hybridMultilevel"/>
    <w:tmpl w:val="796A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0162F"/>
    <w:multiLevelType w:val="hybridMultilevel"/>
    <w:tmpl w:val="A6CA3682"/>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16F94"/>
    <w:multiLevelType w:val="hybridMultilevel"/>
    <w:tmpl w:val="A16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A8E"/>
    <w:multiLevelType w:val="hybridMultilevel"/>
    <w:tmpl w:val="F07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76F61"/>
    <w:multiLevelType w:val="hybridMultilevel"/>
    <w:tmpl w:val="DDB2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D1129"/>
    <w:multiLevelType w:val="hybridMultilevel"/>
    <w:tmpl w:val="16EE02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87083845">
    <w:abstractNumId w:val="3"/>
  </w:num>
  <w:num w:numId="2" w16cid:durableId="1299334850">
    <w:abstractNumId w:val="18"/>
  </w:num>
  <w:num w:numId="3" w16cid:durableId="31879793">
    <w:abstractNumId w:val="17"/>
  </w:num>
  <w:num w:numId="4" w16cid:durableId="224995522">
    <w:abstractNumId w:val="7"/>
  </w:num>
  <w:num w:numId="5" w16cid:durableId="815997990">
    <w:abstractNumId w:val="2"/>
  </w:num>
  <w:num w:numId="6" w16cid:durableId="217784718">
    <w:abstractNumId w:val="15"/>
  </w:num>
  <w:num w:numId="7" w16cid:durableId="471169321">
    <w:abstractNumId w:val="11"/>
  </w:num>
  <w:num w:numId="8" w16cid:durableId="370737977">
    <w:abstractNumId w:val="6"/>
  </w:num>
  <w:num w:numId="9" w16cid:durableId="332299459">
    <w:abstractNumId w:val="5"/>
  </w:num>
  <w:num w:numId="10" w16cid:durableId="1898272339">
    <w:abstractNumId w:val="0"/>
  </w:num>
  <w:num w:numId="11" w16cid:durableId="1092748974">
    <w:abstractNumId w:val="4"/>
  </w:num>
  <w:num w:numId="12" w16cid:durableId="1329014566">
    <w:abstractNumId w:val="20"/>
  </w:num>
  <w:num w:numId="13" w16cid:durableId="57286196">
    <w:abstractNumId w:val="16"/>
  </w:num>
  <w:num w:numId="14" w16cid:durableId="1375931742">
    <w:abstractNumId w:val="19"/>
  </w:num>
  <w:num w:numId="15" w16cid:durableId="1583105588">
    <w:abstractNumId w:val="13"/>
  </w:num>
  <w:num w:numId="16" w16cid:durableId="366294294">
    <w:abstractNumId w:val="9"/>
  </w:num>
  <w:num w:numId="17" w16cid:durableId="1419248664">
    <w:abstractNumId w:val="8"/>
  </w:num>
  <w:num w:numId="18" w16cid:durableId="524905254">
    <w:abstractNumId w:val="12"/>
  </w:num>
  <w:num w:numId="19" w16cid:durableId="1593123792">
    <w:abstractNumId w:val="1"/>
  </w:num>
  <w:num w:numId="20" w16cid:durableId="145705744">
    <w:abstractNumId w:val="14"/>
  </w:num>
  <w:num w:numId="21" w16cid:durableId="728381329">
    <w:abstractNumId w:val="10"/>
  </w:num>
  <w:num w:numId="22" w16cid:durableId="1474836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4B"/>
    <w:rsid w:val="00003352"/>
    <w:rsid w:val="00010B47"/>
    <w:rsid w:val="0001479A"/>
    <w:rsid w:val="00014E1E"/>
    <w:rsid w:val="000212C5"/>
    <w:rsid w:val="000243C0"/>
    <w:rsid w:val="00024AD1"/>
    <w:rsid w:val="00027228"/>
    <w:rsid w:val="000278B4"/>
    <w:rsid w:val="0004132D"/>
    <w:rsid w:val="00041AC9"/>
    <w:rsid w:val="00042DB9"/>
    <w:rsid w:val="0004758A"/>
    <w:rsid w:val="00050120"/>
    <w:rsid w:val="000502E0"/>
    <w:rsid w:val="0005256F"/>
    <w:rsid w:val="000525E6"/>
    <w:rsid w:val="00055FA6"/>
    <w:rsid w:val="00060EC8"/>
    <w:rsid w:val="00061343"/>
    <w:rsid w:val="00061F64"/>
    <w:rsid w:val="000620CD"/>
    <w:rsid w:val="000629A6"/>
    <w:rsid w:val="00065B95"/>
    <w:rsid w:val="00080BFF"/>
    <w:rsid w:val="000840BD"/>
    <w:rsid w:val="0008641E"/>
    <w:rsid w:val="000909CC"/>
    <w:rsid w:val="00091A5B"/>
    <w:rsid w:val="000A0391"/>
    <w:rsid w:val="000A14CF"/>
    <w:rsid w:val="000A3AA1"/>
    <w:rsid w:val="000A4A33"/>
    <w:rsid w:val="000A7D0D"/>
    <w:rsid w:val="000A7F04"/>
    <w:rsid w:val="000B6E0F"/>
    <w:rsid w:val="000B7617"/>
    <w:rsid w:val="000C2903"/>
    <w:rsid w:val="000C4926"/>
    <w:rsid w:val="000C61BE"/>
    <w:rsid w:val="000D4A05"/>
    <w:rsid w:val="000D66DC"/>
    <w:rsid w:val="000D7887"/>
    <w:rsid w:val="000E2601"/>
    <w:rsid w:val="000E4336"/>
    <w:rsid w:val="000E7683"/>
    <w:rsid w:val="000F0625"/>
    <w:rsid w:val="000F38E1"/>
    <w:rsid w:val="000F51F9"/>
    <w:rsid w:val="000F687A"/>
    <w:rsid w:val="000F79DB"/>
    <w:rsid w:val="00100453"/>
    <w:rsid w:val="00102B00"/>
    <w:rsid w:val="00103FC9"/>
    <w:rsid w:val="00106DDF"/>
    <w:rsid w:val="0011113E"/>
    <w:rsid w:val="001120E8"/>
    <w:rsid w:val="001136FB"/>
    <w:rsid w:val="00115730"/>
    <w:rsid w:val="00115DA8"/>
    <w:rsid w:val="0011793E"/>
    <w:rsid w:val="0012108C"/>
    <w:rsid w:val="00123C75"/>
    <w:rsid w:val="00127701"/>
    <w:rsid w:val="00130F82"/>
    <w:rsid w:val="00135DB9"/>
    <w:rsid w:val="00136E31"/>
    <w:rsid w:val="00141407"/>
    <w:rsid w:val="00142A9D"/>
    <w:rsid w:val="00144068"/>
    <w:rsid w:val="00146C08"/>
    <w:rsid w:val="00152123"/>
    <w:rsid w:val="00160C54"/>
    <w:rsid w:val="00161D62"/>
    <w:rsid w:val="001628B1"/>
    <w:rsid w:val="001632DE"/>
    <w:rsid w:val="00164D32"/>
    <w:rsid w:val="0016724B"/>
    <w:rsid w:val="00170406"/>
    <w:rsid w:val="001714A5"/>
    <w:rsid w:val="00172C61"/>
    <w:rsid w:val="00174124"/>
    <w:rsid w:val="00180636"/>
    <w:rsid w:val="001822D2"/>
    <w:rsid w:val="00186044"/>
    <w:rsid w:val="00190382"/>
    <w:rsid w:val="001908AA"/>
    <w:rsid w:val="001A2FD1"/>
    <w:rsid w:val="001A3A3D"/>
    <w:rsid w:val="001A7CB3"/>
    <w:rsid w:val="001B1EC2"/>
    <w:rsid w:val="001B7659"/>
    <w:rsid w:val="001C0E30"/>
    <w:rsid w:val="001C1D8B"/>
    <w:rsid w:val="001C247C"/>
    <w:rsid w:val="001C3CD8"/>
    <w:rsid w:val="001C42A6"/>
    <w:rsid w:val="001D195F"/>
    <w:rsid w:val="001D253C"/>
    <w:rsid w:val="001D263C"/>
    <w:rsid w:val="001D6656"/>
    <w:rsid w:val="001D6AAE"/>
    <w:rsid w:val="001D7B23"/>
    <w:rsid w:val="001E0367"/>
    <w:rsid w:val="001E558A"/>
    <w:rsid w:val="001F06E9"/>
    <w:rsid w:val="001F1373"/>
    <w:rsid w:val="0020097F"/>
    <w:rsid w:val="00201FD3"/>
    <w:rsid w:val="00203F18"/>
    <w:rsid w:val="00205953"/>
    <w:rsid w:val="0020624C"/>
    <w:rsid w:val="0020744D"/>
    <w:rsid w:val="00211EE1"/>
    <w:rsid w:val="002137A2"/>
    <w:rsid w:val="00215DBD"/>
    <w:rsid w:val="00217D70"/>
    <w:rsid w:val="00224289"/>
    <w:rsid w:val="0022672B"/>
    <w:rsid w:val="0023241E"/>
    <w:rsid w:val="00232E28"/>
    <w:rsid w:val="002369F4"/>
    <w:rsid w:val="0023700F"/>
    <w:rsid w:val="0024657F"/>
    <w:rsid w:val="00247418"/>
    <w:rsid w:val="00247685"/>
    <w:rsid w:val="00251198"/>
    <w:rsid w:val="00251B11"/>
    <w:rsid w:val="00251F59"/>
    <w:rsid w:val="00252E7A"/>
    <w:rsid w:val="00255B68"/>
    <w:rsid w:val="002565C3"/>
    <w:rsid w:val="0026686E"/>
    <w:rsid w:val="00281AD9"/>
    <w:rsid w:val="0028354F"/>
    <w:rsid w:val="00287BD8"/>
    <w:rsid w:val="0029165E"/>
    <w:rsid w:val="00291DE8"/>
    <w:rsid w:val="00292657"/>
    <w:rsid w:val="002937F2"/>
    <w:rsid w:val="00297DEC"/>
    <w:rsid w:val="00297FEC"/>
    <w:rsid w:val="002A255D"/>
    <w:rsid w:val="002A25A7"/>
    <w:rsid w:val="002A41EA"/>
    <w:rsid w:val="002A5007"/>
    <w:rsid w:val="002A68EA"/>
    <w:rsid w:val="002B16DC"/>
    <w:rsid w:val="002B3DFB"/>
    <w:rsid w:val="002C05FF"/>
    <w:rsid w:val="002C0D2F"/>
    <w:rsid w:val="002C4DBC"/>
    <w:rsid w:val="002C536B"/>
    <w:rsid w:val="002D03D1"/>
    <w:rsid w:val="002D6BC1"/>
    <w:rsid w:val="002E00BA"/>
    <w:rsid w:val="002E19C6"/>
    <w:rsid w:val="002E2D84"/>
    <w:rsid w:val="002E2DA6"/>
    <w:rsid w:val="002F188E"/>
    <w:rsid w:val="002F2835"/>
    <w:rsid w:val="002F2E09"/>
    <w:rsid w:val="002F4392"/>
    <w:rsid w:val="002F4BEB"/>
    <w:rsid w:val="00300BB2"/>
    <w:rsid w:val="003028A8"/>
    <w:rsid w:val="003030DA"/>
    <w:rsid w:val="00306792"/>
    <w:rsid w:val="00306EE3"/>
    <w:rsid w:val="00310B65"/>
    <w:rsid w:val="00316683"/>
    <w:rsid w:val="00316CC6"/>
    <w:rsid w:val="00317C94"/>
    <w:rsid w:val="00317DB5"/>
    <w:rsid w:val="003257A6"/>
    <w:rsid w:val="00326125"/>
    <w:rsid w:val="00333220"/>
    <w:rsid w:val="0034043F"/>
    <w:rsid w:val="00342304"/>
    <w:rsid w:val="003433BE"/>
    <w:rsid w:val="0034654F"/>
    <w:rsid w:val="00352CCD"/>
    <w:rsid w:val="00354F8A"/>
    <w:rsid w:val="00362858"/>
    <w:rsid w:val="00371C68"/>
    <w:rsid w:val="00373058"/>
    <w:rsid w:val="00376048"/>
    <w:rsid w:val="00376061"/>
    <w:rsid w:val="00377B74"/>
    <w:rsid w:val="003801CA"/>
    <w:rsid w:val="0039579B"/>
    <w:rsid w:val="003A0025"/>
    <w:rsid w:val="003A06D6"/>
    <w:rsid w:val="003A0EE7"/>
    <w:rsid w:val="003A33BC"/>
    <w:rsid w:val="003A38E4"/>
    <w:rsid w:val="003A4A67"/>
    <w:rsid w:val="003A576D"/>
    <w:rsid w:val="003A5C84"/>
    <w:rsid w:val="003B02E6"/>
    <w:rsid w:val="003B0C5F"/>
    <w:rsid w:val="003B0F5E"/>
    <w:rsid w:val="003B1A99"/>
    <w:rsid w:val="003B39A8"/>
    <w:rsid w:val="003B41A3"/>
    <w:rsid w:val="003B6EBB"/>
    <w:rsid w:val="003C1DC8"/>
    <w:rsid w:val="003C3AAB"/>
    <w:rsid w:val="003C5472"/>
    <w:rsid w:val="003D733E"/>
    <w:rsid w:val="003E24DF"/>
    <w:rsid w:val="003E7A08"/>
    <w:rsid w:val="003F7DBE"/>
    <w:rsid w:val="00411783"/>
    <w:rsid w:val="0041315F"/>
    <w:rsid w:val="00415A0D"/>
    <w:rsid w:val="0042007B"/>
    <w:rsid w:val="004209E8"/>
    <w:rsid w:val="004233D8"/>
    <w:rsid w:val="00426F95"/>
    <w:rsid w:val="00427375"/>
    <w:rsid w:val="004303F6"/>
    <w:rsid w:val="004335B5"/>
    <w:rsid w:val="00433AEE"/>
    <w:rsid w:val="00434861"/>
    <w:rsid w:val="004354AB"/>
    <w:rsid w:val="0044461F"/>
    <w:rsid w:val="00446B34"/>
    <w:rsid w:val="004472EC"/>
    <w:rsid w:val="00447D7C"/>
    <w:rsid w:val="00455CD4"/>
    <w:rsid w:val="00457CF1"/>
    <w:rsid w:val="00461039"/>
    <w:rsid w:val="004627AD"/>
    <w:rsid w:val="004642F1"/>
    <w:rsid w:val="00464760"/>
    <w:rsid w:val="00466CD9"/>
    <w:rsid w:val="00470573"/>
    <w:rsid w:val="00470B41"/>
    <w:rsid w:val="0047275B"/>
    <w:rsid w:val="00483D9E"/>
    <w:rsid w:val="00484F70"/>
    <w:rsid w:val="00495B1C"/>
    <w:rsid w:val="00496F2B"/>
    <w:rsid w:val="004A25A3"/>
    <w:rsid w:val="004A51C4"/>
    <w:rsid w:val="004B1A3B"/>
    <w:rsid w:val="004B1AE6"/>
    <w:rsid w:val="004B357E"/>
    <w:rsid w:val="004B53D7"/>
    <w:rsid w:val="004B69DD"/>
    <w:rsid w:val="004B6F92"/>
    <w:rsid w:val="004C674D"/>
    <w:rsid w:val="004C74A2"/>
    <w:rsid w:val="004D0063"/>
    <w:rsid w:val="004D034B"/>
    <w:rsid w:val="004D14A2"/>
    <w:rsid w:val="004D2FFF"/>
    <w:rsid w:val="004D3CD2"/>
    <w:rsid w:val="004D478C"/>
    <w:rsid w:val="004D4893"/>
    <w:rsid w:val="004E198D"/>
    <w:rsid w:val="004E1AAD"/>
    <w:rsid w:val="004E36DA"/>
    <w:rsid w:val="004E3888"/>
    <w:rsid w:val="004E5E7A"/>
    <w:rsid w:val="004E734F"/>
    <w:rsid w:val="004F20C5"/>
    <w:rsid w:val="004F23BF"/>
    <w:rsid w:val="00501E7B"/>
    <w:rsid w:val="005026BE"/>
    <w:rsid w:val="00504EE7"/>
    <w:rsid w:val="00520C00"/>
    <w:rsid w:val="00522239"/>
    <w:rsid w:val="00523374"/>
    <w:rsid w:val="0053403F"/>
    <w:rsid w:val="00535EF0"/>
    <w:rsid w:val="00541E60"/>
    <w:rsid w:val="005422C4"/>
    <w:rsid w:val="00544EA5"/>
    <w:rsid w:val="005504DE"/>
    <w:rsid w:val="0055298D"/>
    <w:rsid w:val="00553026"/>
    <w:rsid w:val="005530F0"/>
    <w:rsid w:val="0055522C"/>
    <w:rsid w:val="00561356"/>
    <w:rsid w:val="0056143C"/>
    <w:rsid w:val="0056189E"/>
    <w:rsid w:val="00564076"/>
    <w:rsid w:val="00566145"/>
    <w:rsid w:val="00566D65"/>
    <w:rsid w:val="00570C2C"/>
    <w:rsid w:val="0057126F"/>
    <w:rsid w:val="0057295A"/>
    <w:rsid w:val="005855FB"/>
    <w:rsid w:val="00585D25"/>
    <w:rsid w:val="00586D37"/>
    <w:rsid w:val="005875E3"/>
    <w:rsid w:val="00596AF2"/>
    <w:rsid w:val="005A410E"/>
    <w:rsid w:val="005A4FC4"/>
    <w:rsid w:val="005A6915"/>
    <w:rsid w:val="005A740D"/>
    <w:rsid w:val="005B1911"/>
    <w:rsid w:val="005B28C5"/>
    <w:rsid w:val="005B2D36"/>
    <w:rsid w:val="005B3EF2"/>
    <w:rsid w:val="005B5156"/>
    <w:rsid w:val="005B5218"/>
    <w:rsid w:val="005C2094"/>
    <w:rsid w:val="005C20B9"/>
    <w:rsid w:val="005C42EB"/>
    <w:rsid w:val="005C5943"/>
    <w:rsid w:val="005D1E96"/>
    <w:rsid w:val="005D687D"/>
    <w:rsid w:val="005E0E19"/>
    <w:rsid w:val="005E7EE3"/>
    <w:rsid w:val="005F59C2"/>
    <w:rsid w:val="005F59D7"/>
    <w:rsid w:val="00602450"/>
    <w:rsid w:val="00603A35"/>
    <w:rsid w:val="00605786"/>
    <w:rsid w:val="006065E5"/>
    <w:rsid w:val="00610BE2"/>
    <w:rsid w:val="0061225B"/>
    <w:rsid w:val="00620A80"/>
    <w:rsid w:val="00635761"/>
    <w:rsid w:val="00640923"/>
    <w:rsid w:val="00640DBF"/>
    <w:rsid w:val="00643038"/>
    <w:rsid w:val="00646F4A"/>
    <w:rsid w:val="00651548"/>
    <w:rsid w:val="00652267"/>
    <w:rsid w:val="00654755"/>
    <w:rsid w:val="00657FE0"/>
    <w:rsid w:val="006637D3"/>
    <w:rsid w:val="00666494"/>
    <w:rsid w:val="00667513"/>
    <w:rsid w:val="00671AEB"/>
    <w:rsid w:val="006730A6"/>
    <w:rsid w:val="006735CD"/>
    <w:rsid w:val="006749BE"/>
    <w:rsid w:val="006825F9"/>
    <w:rsid w:val="006826BA"/>
    <w:rsid w:val="006833B3"/>
    <w:rsid w:val="006845ED"/>
    <w:rsid w:val="00684FEC"/>
    <w:rsid w:val="00685F67"/>
    <w:rsid w:val="00686EF4"/>
    <w:rsid w:val="0069371C"/>
    <w:rsid w:val="0069537B"/>
    <w:rsid w:val="00697573"/>
    <w:rsid w:val="006A0682"/>
    <w:rsid w:val="006A3E5E"/>
    <w:rsid w:val="006A5358"/>
    <w:rsid w:val="006A6CCE"/>
    <w:rsid w:val="006B249B"/>
    <w:rsid w:val="006B6A6A"/>
    <w:rsid w:val="006B6FEC"/>
    <w:rsid w:val="006B7EDF"/>
    <w:rsid w:val="006C1D11"/>
    <w:rsid w:val="006C2289"/>
    <w:rsid w:val="006C62AF"/>
    <w:rsid w:val="006E15C7"/>
    <w:rsid w:val="006E2B09"/>
    <w:rsid w:val="006E4021"/>
    <w:rsid w:val="006F1561"/>
    <w:rsid w:val="006F26A1"/>
    <w:rsid w:val="006F5817"/>
    <w:rsid w:val="006F6537"/>
    <w:rsid w:val="007013BD"/>
    <w:rsid w:val="00703450"/>
    <w:rsid w:val="00711FFE"/>
    <w:rsid w:val="00712010"/>
    <w:rsid w:val="00712FE0"/>
    <w:rsid w:val="007138AB"/>
    <w:rsid w:val="0071403F"/>
    <w:rsid w:val="007208F4"/>
    <w:rsid w:val="0072189F"/>
    <w:rsid w:val="00725D24"/>
    <w:rsid w:val="00741E7E"/>
    <w:rsid w:val="00743D2D"/>
    <w:rsid w:val="007455A3"/>
    <w:rsid w:val="00756F09"/>
    <w:rsid w:val="00760DC9"/>
    <w:rsid w:val="0076453F"/>
    <w:rsid w:val="0077078F"/>
    <w:rsid w:val="00782C9B"/>
    <w:rsid w:val="00790D16"/>
    <w:rsid w:val="007928CB"/>
    <w:rsid w:val="007A2D80"/>
    <w:rsid w:val="007B6501"/>
    <w:rsid w:val="007C128F"/>
    <w:rsid w:val="007C1834"/>
    <w:rsid w:val="007C3739"/>
    <w:rsid w:val="007C3EA5"/>
    <w:rsid w:val="007D2A5B"/>
    <w:rsid w:val="007D2F7F"/>
    <w:rsid w:val="007D3FB5"/>
    <w:rsid w:val="007E05C5"/>
    <w:rsid w:val="007E2723"/>
    <w:rsid w:val="007E27B2"/>
    <w:rsid w:val="007E2FA5"/>
    <w:rsid w:val="007E57EE"/>
    <w:rsid w:val="007E5C6D"/>
    <w:rsid w:val="007F0E73"/>
    <w:rsid w:val="007F3EF6"/>
    <w:rsid w:val="007F3F1E"/>
    <w:rsid w:val="00800941"/>
    <w:rsid w:val="00802732"/>
    <w:rsid w:val="00803486"/>
    <w:rsid w:val="008058BF"/>
    <w:rsid w:val="008063EE"/>
    <w:rsid w:val="00806DB2"/>
    <w:rsid w:val="0081509B"/>
    <w:rsid w:val="00815E00"/>
    <w:rsid w:val="00821EA7"/>
    <w:rsid w:val="00822B16"/>
    <w:rsid w:val="0082362D"/>
    <w:rsid w:val="00824CEE"/>
    <w:rsid w:val="00843446"/>
    <w:rsid w:val="008453C1"/>
    <w:rsid w:val="0085506B"/>
    <w:rsid w:val="00855749"/>
    <w:rsid w:val="008601AF"/>
    <w:rsid w:val="00862D09"/>
    <w:rsid w:val="00864BBC"/>
    <w:rsid w:val="00867933"/>
    <w:rsid w:val="00871244"/>
    <w:rsid w:val="00874520"/>
    <w:rsid w:val="00875AC4"/>
    <w:rsid w:val="00876256"/>
    <w:rsid w:val="008770CB"/>
    <w:rsid w:val="00877DC5"/>
    <w:rsid w:val="00882AB8"/>
    <w:rsid w:val="008833DB"/>
    <w:rsid w:val="00887CD5"/>
    <w:rsid w:val="00887F5B"/>
    <w:rsid w:val="00890236"/>
    <w:rsid w:val="0089352A"/>
    <w:rsid w:val="00894AA2"/>
    <w:rsid w:val="008A5270"/>
    <w:rsid w:val="008B0D6D"/>
    <w:rsid w:val="008B2277"/>
    <w:rsid w:val="008B362C"/>
    <w:rsid w:val="008C336A"/>
    <w:rsid w:val="008D260B"/>
    <w:rsid w:val="008D265F"/>
    <w:rsid w:val="008D38F0"/>
    <w:rsid w:val="008D4667"/>
    <w:rsid w:val="008D4B4F"/>
    <w:rsid w:val="008D5D2E"/>
    <w:rsid w:val="008E19FB"/>
    <w:rsid w:val="008F2833"/>
    <w:rsid w:val="00900483"/>
    <w:rsid w:val="00903B99"/>
    <w:rsid w:val="0091415E"/>
    <w:rsid w:val="00916DB1"/>
    <w:rsid w:val="0092413B"/>
    <w:rsid w:val="0093179B"/>
    <w:rsid w:val="00936CCE"/>
    <w:rsid w:val="00937991"/>
    <w:rsid w:val="009421F4"/>
    <w:rsid w:val="00942874"/>
    <w:rsid w:val="00943495"/>
    <w:rsid w:val="00945B2D"/>
    <w:rsid w:val="00950A3C"/>
    <w:rsid w:val="009527E9"/>
    <w:rsid w:val="00952CF9"/>
    <w:rsid w:val="0096182A"/>
    <w:rsid w:val="0096182B"/>
    <w:rsid w:val="00966520"/>
    <w:rsid w:val="00967776"/>
    <w:rsid w:val="0096794E"/>
    <w:rsid w:val="00973C06"/>
    <w:rsid w:val="00975E41"/>
    <w:rsid w:val="00981119"/>
    <w:rsid w:val="009814B7"/>
    <w:rsid w:val="00981BDC"/>
    <w:rsid w:val="00981E62"/>
    <w:rsid w:val="009847BC"/>
    <w:rsid w:val="00991667"/>
    <w:rsid w:val="00992D1F"/>
    <w:rsid w:val="009939CE"/>
    <w:rsid w:val="00995ADA"/>
    <w:rsid w:val="009A7A18"/>
    <w:rsid w:val="009B0C7B"/>
    <w:rsid w:val="009B1702"/>
    <w:rsid w:val="009B38CF"/>
    <w:rsid w:val="009B45DE"/>
    <w:rsid w:val="009B5B60"/>
    <w:rsid w:val="009B7B81"/>
    <w:rsid w:val="009C1D8F"/>
    <w:rsid w:val="009C54EC"/>
    <w:rsid w:val="009D4638"/>
    <w:rsid w:val="009D53E2"/>
    <w:rsid w:val="009D639B"/>
    <w:rsid w:val="009D6881"/>
    <w:rsid w:val="009D7C42"/>
    <w:rsid w:val="009D7E62"/>
    <w:rsid w:val="009E0AEB"/>
    <w:rsid w:val="009E1963"/>
    <w:rsid w:val="009E28B0"/>
    <w:rsid w:val="009E5A5A"/>
    <w:rsid w:val="009F16DB"/>
    <w:rsid w:val="009F2E4E"/>
    <w:rsid w:val="009F3FCE"/>
    <w:rsid w:val="009F40C7"/>
    <w:rsid w:val="009F4573"/>
    <w:rsid w:val="009F5BA9"/>
    <w:rsid w:val="009F676E"/>
    <w:rsid w:val="00A006C7"/>
    <w:rsid w:val="00A051C1"/>
    <w:rsid w:val="00A078C4"/>
    <w:rsid w:val="00A11246"/>
    <w:rsid w:val="00A1138B"/>
    <w:rsid w:val="00A1625F"/>
    <w:rsid w:val="00A1783B"/>
    <w:rsid w:val="00A20648"/>
    <w:rsid w:val="00A2252E"/>
    <w:rsid w:val="00A251B1"/>
    <w:rsid w:val="00A26FF2"/>
    <w:rsid w:val="00A30013"/>
    <w:rsid w:val="00A30A3F"/>
    <w:rsid w:val="00A33AE1"/>
    <w:rsid w:val="00A34848"/>
    <w:rsid w:val="00A355F8"/>
    <w:rsid w:val="00A368DD"/>
    <w:rsid w:val="00A4172E"/>
    <w:rsid w:val="00A422FC"/>
    <w:rsid w:val="00A45663"/>
    <w:rsid w:val="00A51F75"/>
    <w:rsid w:val="00A53276"/>
    <w:rsid w:val="00A53394"/>
    <w:rsid w:val="00A53689"/>
    <w:rsid w:val="00A54E39"/>
    <w:rsid w:val="00A57193"/>
    <w:rsid w:val="00A6200C"/>
    <w:rsid w:val="00A62210"/>
    <w:rsid w:val="00A62C60"/>
    <w:rsid w:val="00A634D4"/>
    <w:rsid w:val="00A643D8"/>
    <w:rsid w:val="00A65117"/>
    <w:rsid w:val="00A7204C"/>
    <w:rsid w:val="00A741E2"/>
    <w:rsid w:val="00A7445D"/>
    <w:rsid w:val="00A744E7"/>
    <w:rsid w:val="00A74B8E"/>
    <w:rsid w:val="00A74D6B"/>
    <w:rsid w:val="00A7797F"/>
    <w:rsid w:val="00A83B4C"/>
    <w:rsid w:val="00A84579"/>
    <w:rsid w:val="00A935E9"/>
    <w:rsid w:val="00A938D6"/>
    <w:rsid w:val="00A951FC"/>
    <w:rsid w:val="00A958A4"/>
    <w:rsid w:val="00AA054B"/>
    <w:rsid w:val="00AA15B7"/>
    <w:rsid w:val="00AA3643"/>
    <w:rsid w:val="00AB6A81"/>
    <w:rsid w:val="00AC0C74"/>
    <w:rsid w:val="00AC74D7"/>
    <w:rsid w:val="00AD115F"/>
    <w:rsid w:val="00AE155C"/>
    <w:rsid w:val="00AE551B"/>
    <w:rsid w:val="00AE5F7E"/>
    <w:rsid w:val="00AE63AD"/>
    <w:rsid w:val="00AE6D1A"/>
    <w:rsid w:val="00B00C29"/>
    <w:rsid w:val="00B00C3F"/>
    <w:rsid w:val="00B044A4"/>
    <w:rsid w:val="00B07FB2"/>
    <w:rsid w:val="00B13266"/>
    <w:rsid w:val="00B147B7"/>
    <w:rsid w:val="00B1580B"/>
    <w:rsid w:val="00B21D3E"/>
    <w:rsid w:val="00B24B88"/>
    <w:rsid w:val="00B271E5"/>
    <w:rsid w:val="00B27B55"/>
    <w:rsid w:val="00B338F3"/>
    <w:rsid w:val="00B344AD"/>
    <w:rsid w:val="00B410CE"/>
    <w:rsid w:val="00B539AA"/>
    <w:rsid w:val="00B54023"/>
    <w:rsid w:val="00B55C5F"/>
    <w:rsid w:val="00B57AE9"/>
    <w:rsid w:val="00B63AB6"/>
    <w:rsid w:val="00B67450"/>
    <w:rsid w:val="00B74FE6"/>
    <w:rsid w:val="00B75AB5"/>
    <w:rsid w:val="00B8362B"/>
    <w:rsid w:val="00B86D03"/>
    <w:rsid w:val="00B9002F"/>
    <w:rsid w:val="00B934BF"/>
    <w:rsid w:val="00B936CF"/>
    <w:rsid w:val="00B975E1"/>
    <w:rsid w:val="00BA1E0C"/>
    <w:rsid w:val="00BA6AF7"/>
    <w:rsid w:val="00BB696B"/>
    <w:rsid w:val="00BC2896"/>
    <w:rsid w:val="00BD3CAE"/>
    <w:rsid w:val="00BD7709"/>
    <w:rsid w:val="00BE0469"/>
    <w:rsid w:val="00BE1E15"/>
    <w:rsid w:val="00BE407E"/>
    <w:rsid w:val="00BE5973"/>
    <w:rsid w:val="00BF3124"/>
    <w:rsid w:val="00BF4086"/>
    <w:rsid w:val="00BF6AEB"/>
    <w:rsid w:val="00C03139"/>
    <w:rsid w:val="00C149D0"/>
    <w:rsid w:val="00C20A64"/>
    <w:rsid w:val="00C21CF0"/>
    <w:rsid w:val="00C234B3"/>
    <w:rsid w:val="00C255F1"/>
    <w:rsid w:val="00C27F46"/>
    <w:rsid w:val="00C332D6"/>
    <w:rsid w:val="00C34C4B"/>
    <w:rsid w:val="00C43824"/>
    <w:rsid w:val="00C448D0"/>
    <w:rsid w:val="00C46395"/>
    <w:rsid w:val="00C52B58"/>
    <w:rsid w:val="00C53409"/>
    <w:rsid w:val="00C55066"/>
    <w:rsid w:val="00C66281"/>
    <w:rsid w:val="00C66ACB"/>
    <w:rsid w:val="00C66C99"/>
    <w:rsid w:val="00C67D64"/>
    <w:rsid w:val="00C7359B"/>
    <w:rsid w:val="00C75852"/>
    <w:rsid w:val="00C80863"/>
    <w:rsid w:val="00C85CAA"/>
    <w:rsid w:val="00C8647D"/>
    <w:rsid w:val="00C9076A"/>
    <w:rsid w:val="00CA272A"/>
    <w:rsid w:val="00CB023C"/>
    <w:rsid w:val="00CB0EB1"/>
    <w:rsid w:val="00CB1D6E"/>
    <w:rsid w:val="00CB20B7"/>
    <w:rsid w:val="00CB2405"/>
    <w:rsid w:val="00CB2622"/>
    <w:rsid w:val="00CB49A1"/>
    <w:rsid w:val="00CB7465"/>
    <w:rsid w:val="00CC3F12"/>
    <w:rsid w:val="00CC49A0"/>
    <w:rsid w:val="00CD2084"/>
    <w:rsid w:val="00CD2492"/>
    <w:rsid w:val="00CD68D9"/>
    <w:rsid w:val="00CD7F7D"/>
    <w:rsid w:val="00CF2B36"/>
    <w:rsid w:val="00CF4625"/>
    <w:rsid w:val="00D00B61"/>
    <w:rsid w:val="00D021C0"/>
    <w:rsid w:val="00D048EA"/>
    <w:rsid w:val="00D06857"/>
    <w:rsid w:val="00D07803"/>
    <w:rsid w:val="00D10E2D"/>
    <w:rsid w:val="00D201C6"/>
    <w:rsid w:val="00D20580"/>
    <w:rsid w:val="00D22889"/>
    <w:rsid w:val="00D23CE7"/>
    <w:rsid w:val="00D32441"/>
    <w:rsid w:val="00D33389"/>
    <w:rsid w:val="00D3567D"/>
    <w:rsid w:val="00D4016B"/>
    <w:rsid w:val="00D4317D"/>
    <w:rsid w:val="00D44E9C"/>
    <w:rsid w:val="00D47F44"/>
    <w:rsid w:val="00D51F74"/>
    <w:rsid w:val="00D52A41"/>
    <w:rsid w:val="00D55E18"/>
    <w:rsid w:val="00D62476"/>
    <w:rsid w:val="00D66BB4"/>
    <w:rsid w:val="00D67AD4"/>
    <w:rsid w:val="00D73797"/>
    <w:rsid w:val="00D75D5F"/>
    <w:rsid w:val="00D85EEB"/>
    <w:rsid w:val="00DA0183"/>
    <w:rsid w:val="00DA3082"/>
    <w:rsid w:val="00DC2F8F"/>
    <w:rsid w:val="00DC66ED"/>
    <w:rsid w:val="00DC7D4A"/>
    <w:rsid w:val="00DD0070"/>
    <w:rsid w:val="00DE73AA"/>
    <w:rsid w:val="00E03791"/>
    <w:rsid w:val="00E05713"/>
    <w:rsid w:val="00E058F5"/>
    <w:rsid w:val="00E07026"/>
    <w:rsid w:val="00E11496"/>
    <w:rsid w:val="00E20362"/>
    <w:rsid w:val="00E24FEA"/>
    <w:rsid w:val="00E261C3"/>
    <w:rsid w:val="00E269B7"/>
    <w:rsid w:val="00E27452"/>
    <w:rsid w:val="00E31772"/>
    <w:rsid w:val="00E333EC"/>
    <w:rsid w:val="00E347F4"/>
    <w:rsid w:val="00E34A14"/>
    <w:rsid w:val="00E354C5"/>
    <w:rsid w:val="00E443D5"/>
    <w:rsid w:val="00E44DA8"/>
    <w:rsid w:val="00E46620"/>
    <w:rsid w:val="00E5117D"/>
    <w:rsid w:val="00E63049"/>
    <w:rsid w:val="00E63B6F"/>
    <w:rsid w:val="00E64DC0"/>
    <w:rsid w:val="00E661C2"/>
    <w:rsid w:val="00E671FB"/>
    <w:rsid w:val="00E727C4"/>
    <w:rsid w:val="00E72C0F"/>
    <w:rsid w:val="00E749B4"/>
    <w:rsid w:val="00E74C43"/>
    <w:rsid w:val="00E754B5"/>
    <w:rsid w:val="00E82225"/>
    <w:rsid w:val="00E8428F"/>
    <w:rsid w:val="00E86793"/>
    <w:rsid w:val="00E9147B"/>
    <w:rsid w:val="00E91A24"/>
    <w:rsid w:val="00E953E2"/>
    <w:rsid w:val="00E96DC4"/>
    <w:rsid w:val="00E97F63"/>
    <w:rsid w:val="00EA0E2A"/>
    <w:rsid w:val="00EA14EC"/>
    <w:rsid w:val="00EA40F1"/>
    <w:rsid w:val="00EA6886"/>
    <w:rsid w:val="00EB194B"/>
    <w:rsid w:val="00EB1AB2"/>
    <w:rsid w:val="00EC0B14"/>
    <w:rsid w:val="00EC31DD"/>
    <w:rsid w:val="00EC693C"/>
    <w:rsid w:val="00ED170F"/>
    <w:rsid w:val="00ED5F95"/>
    <w:rsid w:val="00EE0485"/>
    <w:rsid w:val="00EE38FB"/>
    <w:rsid w:val="00EE672D"/>
    <w:rsid w:val="00F037F0"/>
    <w:rsid w:val="00F12183"/>
    <w:rsid w:val="00F126BA"/>
    <w:rsid w:val="00F208EB"/>
    <w:rsid w:val="00F30ADA"/>
    <w:rsid w:val="00F377F9"/>
    <w:rsid w:val="00F40110"/>
    <w:rsid w:val="00F473AD"/>
    <w:rsid w:val="00F51524"/>
    <w:rsid w:val="00F54F35"/>
    <w:rsid w:val="00F61627"/>
    <w:rsid w:val="00F61E64"/>
    <w:rsid w:val="00F6230C"/>
    <w:rsid w:val="00F633DB"/>
    <w:rsid w:val="00F666C5"/>
    <w:rsid w:val="00F75674"/>
    <w:rsid w:val="00F76A17"/>
    <w:rsid w:val="00F81FC9"/>
    <w:rsid w:val="00F8522C"/>
    <w:rsid w:val="00F93938"/>
    <w:rsid w:val="00F9405A"/>
    <w:rsid w:val="00F94D87"/>
    <w:rsid w:val="00F9535B"/>
    <w:rsid w:val="00FA30FE"/>
    <w:rsid w:val="00FA44DC"/>
    <w:rsid w:val="00FA46AA"/>
    <w:rsid w:val="00FB2D0F"/>
    <w:rsid w:val="00FB40BB"/>
    <w:rsid w:val="00FB6769"/>
    <w:rsid w:val="00FB755E"/>
    <w:rsid w:val="00FC24A4"/>
    <w:rsid w:val="00FC3C8B"/>
    <w:rsid w:val="00FC606B"/>
    <w:rsid w:val="00FD1E17"/>
    <w:rsid w:val="00FD1EE2"/>
    <w:rsid w:val="00FD3E5F"/>
    <w:rsid w:val="00FD4040"/>
    <w:rsid w:val="00FD59F2"/>
    <w:rsid w:val="00FD6E70"/>
    <w:rsid w:val="00FE48B2"/>
    <w:rsid w:val="00FE60EB"/>
    <w:rsid w:val="00FE6EBE"/>
    <w:rsid w:val="00FF0431"/>
    <w:rsid w:val="00FF08C4"/>
    <w:rsid w:val="00FF23EF"/>
    <w:rsid w:val="00FF799C"/>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3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05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332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05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054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A054B"/>
    <w:pPr>
      <w:outlineLvl w:val="9"/>
    </w:pPr>
  </w:style>
  <w:style w:type="paragraph" w:styleId="TOC1">
    <w:name w:val="toc 1"/>
    <w:basedOn w:val="Normal"/>
    <w:next w:val="Normal"/>
    <w:autoRedefine/>
    <w:uiPriority w:val="39"/>
    <w:unhideWhenUsed/>
    <w:rsid w:val="00A051C1"/>
    <w:pPr>
      <w:spacing w:before="120" w:after="120"/>
    </w:pPr>
    <w:rPr>
      <w:rFonts w:cstheme="minorHAnsi"/>
      <w:b/>
      <w:bCs/>
      <w:caps/>
      <w:sz w:val="20"/>
      <w:szCs w:val="20"/>
    </w:rPr>
  </w:style>
  <w:style w:type="paragraph" w:styleId="TOC2">
    <w:name w:val="toc 2"/>
    <w:basedOn w:val="Normal"/>
    <w:next w:val="Normal"/>
    <w:autoRedefine/>
    <w:uiPriority w:val="39"/>
    <w:unhideWhenUsed/>
    <w:rsid w:val="001632DE"/>
    <w:pPr>
      <w:spacing w:after="0"/>
      <w:ind w:left="220"/>
    </w:pPr>
    <w:rPr>
      <w:rFonts w:cstheme="minorHAnsi"/>
      <w:smallCaps/>
      <w:sz w:val="20"/>
      <w:szCs w:val="20"/>
    </w:rPr>
  </w:style>
  <w:style w:type="paragraph" w:styleId="TOC3">
    <w:name w:val="toc 3"/>
    <w:basedOn w:val="Normal"/>
    <w:next w:val="Normal"/>
    <w:autoRedefine/>
    <w:uiPriority w:val="39"/>
    <w:unhideWhenUsed/>
    <w:rsid w:val="00203F18"/>
    <w:pPr>
      <w:spacing w:after="0"/>
      <w:ind w:left="440"/>
    </w:pPr>
    <w:rPr>
      <w:rFonts w:cstheme="minorHAnsi"/>
      <w:i/>
      <w:iCs/>
      <w:sz w:val="20"/>
      <w:szCs w:val="20"/>
    </w:rPr>
  </w:style>
  <w:style w:type="character" w:styleId="Hyperlink">
    <w:name w:val="Hyperlink"/>
    <w:basedOn w:val="DefaultParagraphFont"/>
    <w:uiPriority w:val="99"/>
    <w:unhideWhenUsed/>
    <w:rsid w:val="00AA054B"/>
    <w:rPr>
      <w:color w:val="0563C1" w:themeColor="hyperlink"/>
      <w:u w:val="single"/>
    </w:rPr>
  </w:style>
  <w:style w:type="paragraph" w:styleId="ListParagraph">
    <w:name w:val="List Paragraph"/>
    <w:basedOn w:val="Normal"/>
    <w:uiPriority w:val="34"/>
    <w:qFormat/>
    <w:rsid w:val="00AA054B"/>
    <w:pPr>
      <w:spacing w:before="120" w:after="120" w:line="240" w:lineRule="auto"/>
      <w:ind w:left="720"/>
      <w:contextualSpacing/>
    </w:pPr>
    <w:rPr>
      <w:rFonts w:eastAsiaTheme="minorEastAsia"/>
      <w:sz w:val="20"/>
      <w:szCs w:val="20"/>
      <w:lang w:bidi="en-US"/>
    </w:rPr>
  </w:style>
  <w:style w:type="paragraph" w:styleId="FootnoteText">
    <w:name w:val="footnote text"/>
    <w:basedOn w:val="Normal"/>
    <w:link w:val="FootnoteTextChar"/>
    <w:uiPriority w:val="99"/>
    <w:semiHidden/>
    <w:unhideWhenUsed/>
    <w:rsid w:val="005E7EE3"/>
    <w:pPr>
      <w:spacing w:after="0" w:line="240" w:lineRule="auto"/>
    </w:pPr>
    <w:rPr>
      <w:rFonts w:eastAsiaTheme="minorEastAsia"/>
      <w:sz w:val="20"/>
      <w:szCs w:val="20"/>
      <w:lang w:bidi="en-US"/>
    </w:rPr>
  </w:style>
  <w:style w:type="character" w:customStyle="1" w:styleId="FootnoteTextChar">
    <w:name w:val="Footnote Text Char"/>
    <w:basedOn w:val="DefaultParagraphFont"/>
    <w:link w:val="FootnoteText"/>
    <w:uiPriority w:val="99"/>
    <w:semiHidden/>
    <w:rsid w:val="005E7EE3"/>
    <w:rPr>
      <w:rFonts w:eastAsiaTheme="minorEastAsia"/>
      <w:sz w:val="20"/>
      <w:szCs w:val="20"/>
      <w:lang w:bidi="en-US"/>
    </w:rPr>
  </w:style>
  <w:style w:type="character" w:styleId="FootnoteReference">
    <w:name w:val="footnote reference"/>
    <w:basedOn w:val="DefaultParagraphFont"/>
    <w:uiPriority w:val="99"/>
    <w:semiHidden/>
    <w:unhideWhenUsed/>
    <w:rsid w:val="005E7EE3"/>
    <w:rPr>
      <w:vertAlign w:val="superscript"/>
    </w:rPr>
  </w:style>
  <w:style w:type="table" w:customStyle="1" w:styleId="LightList-Accent11">
    <w:name w:val="Light List - Accent 11"/>
    <w:basedOn w:val="TableNormal"/>
    <w:uiPriority w:val="61"/>
    <w:rsid w:val="00A11246"/>
    <w:pPr>
      <w:spacing w:after="0" w:line="240" w:lineRule="auto"/>
    </w:pPr>
    <w:rPr>
      <w:rFonts w:eastAsiaTheme="minorEastAsia"/>
      <w:lang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8D4B4F"/>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C"/>
  </w:style>
  <w:style w:type="paragraph" w:styleId="Footer">
    <w:name w:val="footer"/>
    <w:basedOn w:val="Normal"/>
    <w:link w:val="FooterChar"/>
    <w:uiPriority w:val="99"/>
    <w:unhideWhenUsed/>
    <w:rsid w:val="008B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C"/>
  </w:style>
  <w:style w:type="character" w:styleId="FollowedHyperlink">
    <w:name w:val="FollowedHyperlink"/>
    <w:basedOn w:val="DefaultParagraphFont"/>
    <w:uiPriority w:val="99"/>
    <w:semiHidden/>
    <w:unhideWhenUsed/>
    <w:rsid w:val="00A935E9"/>
    <w:rPr>
      <w:color w:val="954F72" w:themeColor="followedHyperlink"/>
      <w:u w:val="single"/>
    </w:rPr>
  </w:style>
  <w:style w:type="character" w:styleId="CommentReference">
    <w:name w:val="annotation reference"/>
    <w:basedOn w:val="DefaultParagraphFont"/>
    <w:uiPriority w:val="99"/>
    <w:semiHidden/>
    <w:unhideWhenUsed/>
    <w:rsid w:val="00A935E9"/>
    <w:rPr>
      <w:sz w:val="16"/>
      <w:szCs w:val="16"/>
    </w:rPr>
  </w:style>
  <w:style w:type="paragraph" w:styleId="CommentText">
    <w:name w:val="annotation text"/>
    <w:basedOn w:val="Normal"/>
    <w:link w:val="CommentTextChar"/>
    <w:uiPriority w:val="99"/>
    <w:unhideWhenUsed/>
    <w:rsid w:val="00A935E9"/>
    <w:pPr>
      <w:spacing w:line="240" w:lineRule="auto"/>
    </w:pPr>
    <w:rPr>
      <w:sz w:val="20"/>
      <w:szCs w:val="20"/>
    </w:rPr>
  </w:style>
  <w:style w:type="character" w:customStyle="1" w:styleId="CommentTextChar">
    <w:name w:val="Comment Text Char"/>
    <w:basedOn w:val="DefaultParagraphFont"/>
    <w:link w:val="CommentText"/>
    <w:uiPriority w:val="99"/>
    <w:rsid w:val="00A935E9"/>
    <w:rPr>
      <w:sz w:val="20"/>
      <w:szCs w:val="20"/>
    </w:rPr>
  </w:style>
  <w:style w:type="paragraph" w:styleId="CommentSubject">
    <w:name w:val="annotation subject"/>
    <w:basedOn w:val="CommentText"/>
    <w:next w:val="CommentText"/>
    <w:link w:val="CommentSubjectChar"/>
    <w:uiPriority w:val="99"/>
    <w:semiHidden/>
    <w:unhideWhenUsed/>
    <w:rsid w:val="00A935E9"/>
    <w:rPr>
      <w:b/>
      <w:bCs/>
    </w:rPr>
  </w:style>
  <w:style w:type="character" w:customStyle="1" w:styleId="CommentSubjectChar">
    <w:name w:val="Comment Subject Char"/>
    <w:basedOn w:val="CommentTextChar"/>
    <w:link w:val="CommentSubject"/>
    <w:uiPriority w:val="99"/>
    <w:semiHidden/>
    <w:rsid w:val="00A935E9"/>
    <w:rPr>
      <w:b/>
      <w:bCs/>
      <w:sz w:val="20"/>
      <w:szCs w:val="20"/>
    </w:rPr>
  </w:style>
  <w:style w:type="paragraph" w:styleId="BalloonText">
    <w:name w:val="Balloon Text"/>
    <w:basedOn w:val="Normal"/>
    <w:link w:val="BalloonTextChar"/>
    <w:uiPriority w:val="99"/>
    <w:semiHidden/>
    <w:unhideWhenUsed/>
    <w:rsid w:val="00A93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5E9"/>
    <w:rPr>
      <w:rFonts w:ascii="Segoe UI" w:hAnsi="Segoe UI" w:cs="Segoe UI"/>
      <w:sz w:val="18"/>
      <w:szCs w:val="18"/>
    </w:rPr>
  </w:style>
  <w:style w:type="paragraph" w:styleId="Revision">
    <w:name w:val="Revision"/>
    <w:hidden/>
    <w:uiPriority w:val="99"/>
    <w:semiHidden/>
    <w:rsid w:val="00AE6D1A"/>
    <w:pPr>
      <w:spacing w:after="0" w:line="240" w:lineRule="auto"/>
    </w:pPr>
  </w:style>
  <w:style w:type="character" w:styleId="Emphasis">
    <w:name w:val="Emphasis"/>
    <w:uiPriority w:val="20"/>
    <w:qFormat/>
    <w:rsid w:val="00646F4A"/>
    <w:rPr>
      <w:caps/>
      <w:color w:val="1F4D78" w:themeColor="accent1" w:themeShade="7F"/>
      <w:spacing w:val="5"/>
    </w:rPr>
  </w:style>
  <w:style w:type="character" w:styleId="UnresolvedMention">
    <w:name w:val="Unresolved Mention"/>
    <w:basedOn w:val="DefaultParagraphFont"/>
    <w:uiPriority w:val="99"/>
    <w:semiHidden/>
    <w:unhideWhenUsed/>
    <w:rsid w:val="0039579B"/>
    <w:rPr>
      <w:color w:val="605E5C"/>
      <w:shd w:val="clear" w:color="auto" w:fill="E1DFDD"/>
    </w:rPr>
  </w:style>
  <w:style w:type="character" w:customStyle="1" w:styleId="Heading4Char">
    <w:name w:val="Heading 4 Char"/>
    <w:basedOn w:val="DefaultParagraphFont"/>
    <w:link w:val="Heading4"/>
    <w:uiPriority w:val="9"/>
    <w:rsid w:val="00C332D6"/>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667513"/>
    <w:pPr>
      <w:spacing w:after="0"/>
      <w:ind w:left="660"/>
    </w:pPr>
    <w:rPr>
      <w:rFonts w:cstheme="minorHAnsi"/>
      <w:sz w:val="18"/>
      <w:szCs w:val="18"/>
    </w:rPr>
  </w:style>
  <w:style w:type="paragraph" w:styleId="TOC5">
    <w:name w:val="toc 5"/>
    <w:basedOn w:val="Normal"/>
    <w:next w:val="Normal"/>
    <w:autoRedefine/>
    <w:uiPriority w:val="39"/>
    <w:unhideWhenUsed/>
    <w:rsid w:val="00667513"/>
    <w:pPr>
      <w:spacing w:after="0"/>
      <w:ind w:left="880"/>
    </w:pPr>
    <w:rPr>
      <w:rFonts w:cstheme="minorHAnsi"/>
      <w:sz w:val="18"/>
      <w:szCs w:val="18"/>
    </w:rPr>
  </w:style>
  <w:style w:type="paragraph" w:styleId="TOC6">
    <w:name w:val="toc 6"/>
    <w:basedOn w:val="Normal"/>
    <w:next w:val="Normal"/>
    <w:autoRedefine/>
    <w:uiPriority w:val="39"/>
    <w:unhideWhenUsed/>
    <w:rsid w:val="00667513"/>
    <w:pPr>
      <w:spacing w:after="0"/>
      <w:ind w:left="1100"/>
    </w:pPr>
    <w:rPr>
      <w:rFonts w:cstheme="minorHAnsi"/>
      <w:sz w:val="18"/>
      <w:szCs w:val="18"/>
    </w:rPr>
  </w:style>
  <w:style w:type="paragraph" w:styleId="TOC7">
    <w:name w:val="toc 7"/>
    <w:basedOn w:val="Normal"/>
    <w:next w:val="Normal"/>
    <w:autoRedefine/>
    <w:uiPriority w:val="39"/>
    <w:unhideWhenUsed/>
    <w:rsid w:val="00667513"/>
    <w:pPr>
      <w:spacing w:after="0"/>
      <w:ind w:left="1320"/>
    </w:pPr>
    <w:rPr>
      <w:rFonts w:cstheme="minorHAnsi"/>
      <w:sz w:val="18"/>
      <w:szCs w:val="18"/>
    </w:rPr>
  </w:style>
  <w:style w:type="paragraph" w:styleId="TOC8">
    <w:name w:val="toc 8"/>
    <w:basedOn w:val="Normal"/>
    <w:next w:val="Normal"/>
    <w:autoRedefine/>
    <w:uiPriority w:val="39"/>
    <w:unhideWhenUsed/>
    <w:rsid w:val="00667513"/>
    <w:pPr>
      <w:spacing w:after="0"/>
      <w:ind w:left="1540"/>
    </w:pPr>
    <w:rPr>
      <w:rFonts w:cstheme="minorHAnsi"/>
      <w:sz w:val="18"/>
      <w:szCs w:val="18"/>
    </w:rPr>
  </w:style>
  <w:style w:type="paragraph" w:styleId="TOC9">
    <w:name w:val="toc 9"/>
    <w:basedOn w:val="Normal"/>
    <w:next w:val="Normal"/>
    <w:autoRedefine/>
    <w:uiPriority w:val="39"/>
    <w:unhideWhenUsed/>
    <w:rsid w:val="00667513"/>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7207">
      <w:bodyDiv w:val="1"/>
      <w:marLeft w:val="0"/>
      <w:marRight w:val="0"/>
      <w:marTop w:val="0"/>
      <w:marBottom w:val="0"/>
      <w:divBdr>
        <w:top w:val="none" w:sz="0" w:space="0" w:color="auto"/>
        <w:left w:val="none" w:sz="0" w:space="0" w:color="auto"/>
        <w:bottom w:val="none" w:sz="0" w:space="0" w:color="auto"/>
        <w:right w:val="none" w:sz="0" w:space="0" w:color="auto"/>
      </w:divBdr>
    </w:div>
    <w:div w:id="1690335152">
      <w:bodyDiv w:val="1"/>
      <w:marLeft w:val="0"/>
      <w:marRight w:val="0"/>
      <w:marTop w:val="0"/>
      <w:marBottom w:val="0"/>
      <w:divBdr>
        <w:top w:val="none" w:sz="0" w:space="0" w:color="auto"/>
        <w:left w:val="none" w:sz="0" w:space="0" w:color="auto"/>
        <w:bottom w:val="none" w:sz="0" w:space="0" w:color="auto"/>
        <w:right w:val="none" w:sz="0" w:space="0" w:color="auto"/>
      </w:divBdr>
    </w:div>
    <w:div w:id="2065523530">
      <w:bodyDiv w:val="1"/>
      <w:marLeft w:val="0"/>
      <w:marRight w:val="0"/>
      <w:marTop w:val="0"/>
      <w:marBottom w:val="0"/>
      <w:divBdr>
        <w:top w:val="none" w:sz="0" w:space="0" w:color="auto"/>
        <w:left w:val="none" w:sz="0" w:space="0" w:color="auto"/>
        <w:bottom w:val="none" w:sz="0" w:space="0" w:color="auto"/>
        <w:right w:val="none" w:sz="0" w:space="0" w:color="auto"/>
      </w:divBdr>
      <w:divsChild>
        <w:div w:id="1590696594">
          <w:marLeft w:val="0"/>
          <w:marRight w:val="0"/>
          <w:marTop w:val="0"/>
          <w:marBottom w:val="0"/>
          <w:divBdr>
            <w:top w:val="none" w:sz="0" w:space="0" w:color="auto"/>
            <w:left w:val="none" w:sz="0" w:space="0" w:color="auto"/>
            <w:bottom w:val="none" w:sz="0" w:space="0" w:color="auto"/>
            <w:right w:val="none" w:sz="0" w:space="0" w:color="auto"/>
          </w:divBdr>
        </w:div>
        <w:div w:id="174961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w.lis.virginia.gov/vacode/title62.1/chapter3.1/section62.1-44.15:21/" TargetMode="External"/><Relationship Id="rId21" Type="http://schemas.openxmlformats.org/officeDocument/2006/relationships/hyperlink" Target="https://law.lis.virginia.gov/admincode/title9/agency25/chapter210/section165/" TargetMode="External"/><Relationship Id="rId42" Type="http://schemas.openxmlformats.org/officeDocument/2006/relationships/hyperlink" Target="http://www.ecfr.gov/cgi-bin/text-idx?SID=c6734f3f1e97fb7f4c92dcadd9fa4744&amp;mc=true&amp;node=pt40.25.230&amp;rgn=div5" TargetMode="External"/><Relationship Id="rId47" Type="http://schemas.openxmlformats.org/officeDocument/2006/relationships/hyperlink" Target="https://law.lis.virginia.gov/vacode/title62.1/chapter3.1/section62.1-44.15:4/" TargetMode="External"/><Relationship Id="rId63" Type="http://schemas.openxmlformats.org/officeDocument/2006/relationships/hyperlink" Target="https://law.lis.virginia.gov/vacode/title28.2/chapter12/section28.2-1205/" TargetMode="External"/><Relationship Id="rId68" Type="http://schemas.openxmlformats.org/officeDocument/2006/relationships/hyperlink" Target="https://law.lis.virginia.gov/admincode/title9/agency25/chapter210/section140/" TargetMode="External"/><Relationship Id="rId16" Type="http://schemas.openxmlformats.org/officeDocument/2006/relationships/hyperlink" Target="https://law.lis.virginia.gov/vacode/title62.1/chapter3.1/section62.1-44.15:20/" TargetMode="External"/><Relationship Id="rId11" Type="http://schemas.openxmlformats.org/officeDocument/2006/relationships/hyperlink" Target="https://law.lis.virginia.gov/vacode/title10.1/chapter11.1/section10.1-1184/" TargetMode="External"/><Relationship Id="rId32" Type="http://schemas.openxmlformats.org/officeDocument/2006/relationships/hyperlink" Target="https://law.lis.virginia.gov/admincode/title9/agency25/chapter210/section140/" TargetMode="External"/><Relationship Id="rId37" Type="http://schemas.openxmlformats.org/officeDocument/2006/relationships/hyperlink" Target="https://law.lis.virginia.gov/admincode/title9/agency25/chapter210/section130/" TargetMode="External"/><Relationship Id="rId53" Type="http://schemas.openxmlformats.org/officeDocument/2006/relationships/hyperlink" Target="mailto:envreview@dcr.virginia.gov" TargetMode="External"/><Relationship Id="rId58" Type="http://schemas.openxmlformats.org/officeDocument/2006/relationships/hyperlink" Target="mailto:" TargetMode="External"/><Relationship Id="rId74" Type="http://schemas.openxmlformats.org/officeDocument/2006/relationships/hyperlink" Target="https://law.lis.virginia.gov/vacode/title62.1/chapter3.1/section62.1-44.15:21/" TargetMode="External"/><Relationship Id="rId79" Type="http://schemas.openxmlformats.org/officeDocument/2006/relationships/hyperlink" Target="https://law.lis.virginia.gov/admincodefull/title9/agency25/chapter210/partIII/" TargetMode="External"/><Relationship Id="rId5" Type="http://schemas.openxmlformats.org/officeDocument/2006/relationships/numbering" Target="numbering.xml"/><Relationship Id="rId61" Type="http://schemas.openxmlformats.org/officeDocument/2006/relationships/hyperlink" Target="https://law.lis.virginia.gov/vacode/title62.1/chapter3.1/section62.1-44.15:20/" TargetMode="External"/><Relationship Id="rId82" Type="http://schemas.openxmlformats.org/officeDocument/2006/relationships/fontTable" Target="fontTable.xml"/><Relationship Id="rId19" Type="http://schemas.openxmlformats.org/officeDocument/2006/relationships/hyperlink" Target="https://law.lis.virginia.gov/admincode/title9/agency25/chapter210/section160/" TargetMode="External"/><Relationship Id="rId14" Type="http://schemas.openxmlformats.org/officeDocument/2006/relationships/hyperlink" Target="https://law.lis.virginia.gov/admincode/title9/agency25/chapter210/section80/" TargetMode="External"/><Relationship Id="rId22" Type="http://schemas.openxmlformats.org/officeDocument/2006/relationships/hyperlink" Target="https://law.lis.virginia.gov/admincode/title9/agency25/chapter210/section140/" TargetMode="External"/><Relationship Id="rId27" Type="http://schemas.openxmlformats.org/officeDocument/2006/relationships/hyperlink" Target="https://law.lis.virginia.gov/admincode/title9/agency25/chapter210/section80/" TargetMode="External"/><Relationship Id="rId30" Type="http://schemas.openxmlformats.org/officeDocument/2006/relationships/hyperlink" Target="https://law.lis.virginia.gov/admincode/title9/agency25/chapter210/section80/" TargetMode="External"/><Relationship Id="rId35" Type="http://schemas.openxmlformats.org/officeDocument/2006/relationships/hyperlink" Target="https://law.lis.virginia.gov/admincode/title9/agency25/chapter210/section50/" TargetMode="External"/><Relationship Id="rId43" Type="http://schemas.openxmlformats.org/officeDocument/2006/relationships/hyperlink" Target="https://law.lis.virginia.gov/admincode/title9/agency25/chapter210/section80/" TargetMode="External"/><Relationship Id="rId48" Type="http://schemas.openxmlformats.org/officeDocument/2006/relationships/image" Target="media/image1.png"/><Relationship Id="rId56" Type="http://schemas.openxmlformats.org/officeDocument/2006/relationships/hyperlink" Target="mailto:" TargetMode="External"/><Relationship Id="rId64" Type="http://schemas.openxmlformats.org/officeDocument/2006/relationships/hyperlink" Target="mailto:virginiafieldoffice@fws.gov" TargetMode="External"/><Relationship Id="rId69" Type="http://schemas.openxmlformats.org/officeDocument/2006/relationships/hyperlink" Target="https://www.deq.virginia.gov/permits/public-notices/water/wetlands-streams-vwp" TargetMode="External"/><Relationship Id="rId77" Type="http://schemas.openxmlformats.org/officeDocument/2006/relationships/hyperlink" Target="https://covgov.sharepoint.com/:b:/r/sites/deqnet/Shared%20Documents/Administration/Procurement/DEQProcurementManual.pdf?csf=1&amp;web=1&amp;e=eByJHu" TargetMode="External"/><Relationship Id="rId8" Type="http://schemas.openxmlformats.org/officeDocument/2006/relationships/webSettings" Target="webSettings.xml"/><Relationship Id="rId51" Type="http://schemas.openxmlformats.org/officeDocument/2006/relationships/hyperlink" Target="http://www.deq.virginia.gov/info/foia.html" TargetMode="External"/><Relationship Id="rId72" Type="http://schemas.openxmlformats.org/officeDocument/2006/relationships/hyperlink" Target="https://law.lis.virginia.gov/admincodefull/title9/agency25/chapter210/partIII/" TargetMode="External"/><Relationship Id="rId80" Type="http://schemas.openxmlformats.org/officeDocument/2006/relationships/hyperlink" Target="https://law.lis.virginia.gov/vacode/title2.2/chapter40/section2.2-4019/" TargetMode="External"/><Relationship Id="rId3" Type="http://schemas.openxmlformats.org/officeDocument/2006/relationships/customXml" Target="../customXml/item3.xml"/><Relationship Id="rId12"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17" Type="http://schemas.openxmlformats.org/officeDocument/2006/relationships/hyperlink" Target="https://law.lis.virginia.gov/admincode/title9/agency25/chapter210/section140/" TargetMode="External"/><Relationship Id="rId25" Type="http://schemas.openxmlformats.org/officeDocument/2006/relationships/hyperlink" Target="https://law.lis.virginia.gov/admincode/title9/agency25/chapter210/section230/" TargetMode="External"/><Relationship Id="rId33" Type="http://schemas.openxmlformats.org/officeDocument/2006/relationships/hyperlink" Target="https://www.deq.virginia.gov/permits/public-notices/water/wetlands-streams-vwp" TargetMode="External"/><Relationship Id="rId38" Type="http://schemas.openxmlformats.org/officeDocument/2006/relationships/hyperlink" Target="https://law.lis.virginia.gov/admincode/title9/agency25/chapter210/section80/" TargetMode="External"/><Relationship Id="rId46" Type="http://schemas.openxmlformats.org/officeDocument/2006/relationships/hyperlink" Target="https://law.lis.virginia.gov/vacode/title62.1/chapter3.1/section62.1-44.15:4/" TargetMode="External"/><Relationship Id="rId59" Type="http://schemas.openxmlformats.org/officeDocument/2006/relationships/hyperlink" Target="https://www.vdh.virginia.gov/drinking-water/contact-us/" TargetMode="External"/><Relationship Id="rId67" Type="http://schemas.openxmlformats.org/officeDocument/2006/relationships/hyperlink" Target="https://law.lis.virginia.gov/vacode/title8.01/chapter8/section8.01-324/" TargetMode="External"/><Relationship Id="rId20" Type="http://schemas.openxmlformats.org/officeDocument/2006/relationships/hyperlink" Target="https://law.lis.virginia.gov/admincode/title9/agency25/chapter210/section165/" TargetMode="External"/><Relationship Id="rId41" Type="http://schemas.openxmlformats.org/officeDocument/2006/relationships/hyperlink" Target="https://law.lis.virginia.gov/admincode/title9/agency25/chapter210/section116/" TargetMode="External"/><Relationship Id="rId54" Type="http://schemas.openxmlformats.org/officeDocument/2006/relationships/hyperlink" Target="mailto:scoping@mrc.virginia.gov" TargetMode="External"/><Relationship Id="rId62" Type="http://schemas.openxmlformats.org/officeDocument/2006/relationships/hyperlink" Target="https://law.lis.virginia.gov/vacode/title28.2/chapter12/section28.2-1205/" TargetMode="External"/><Relationship Id="rId70" Type="http://schemas.openxmlformats.org/officeDocument/2006/relationships/hyperlink" Target="https://law.lis.virginia.gov/admincode/title9/agency25/chapter210/section165/" TargetMode="External"/><Relationship Id="rId75" Type="http://schemas.openxmlformats.org/officeDocument/2006/relationships/hyperlink" Target="https://law.lis.virginia.gov/admincode/title9/agency25/chapter210/section23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w.lis.virginia.gov/vacode/title62.1/chapter3.1/section62.1-44.15:21/" TargetMode="External"/><Relationship Id="rId23" Type="http://schemas.openxmlformats.org/officeDocument/2006/relationships/hyperlink" Target="https://law.lis.virginia.gov/admincode/title9/agency25/chapter210/section160/" TargetMode="External"/><Relationship Id="rId28" Type="http://schemas.openxmlformats.org/officeDocument/2006/relationships/hyperlink" Target="https://law.lis.virginia.gov/admincode/title9/agency25/chapter210/section80/" TargetMode="External"/><Relationship Id="rId36" Type="http://schemas.openxmlformats.org/officeDocument/2006/relationships/hyperlink" Target="https://law.lis.virginia.gov/admincode/title9/agency25/chapter210/section60/" TargetMode="External"/><Relationship Id="rId49" Type="http://schemas.openxmlformats.org/officeDocument/2006/relationships/hyperlink" Target="https://www.vacomrev.com/" TargetMode="External"/><Relationship Id="rId57" Type="http://schemas.openxmlformats.org/officeDocument/2006/relationships/hyperlink" Target="https://covgov.sharepoint.com/:b:/r/sites/deqnet/Shared%20Documents/Water%20Division/Water%20Permitting/Wetlands%20%26%20Stream%20Protection%20-%20VWP/1DRAFT-VWP%20Permit%20%26%20Compliance%20Manual/MOA-DEQVMRCPermittingInNontidalWatersAmd8-16-2023.pdf?csf=1&amp;web=1&amp;e=NEcDNo" TargetMode="External"/><Relationship Id="rId10" Type="http://schemas.openxmlformats.org/officeDocument/2006/relationships/endnotes" Target="endnotes.xml"/><Relationship Id="rId31" Type="http://schemas.openxmlformats.org/officeDocument/2006/relationships/hyperlink" Target="https://law.lis.virginia.gov/admincode/title9/agency25/chapter210/section80/" TargetMode="External"/><Relationship Id="rId44" Type="http://schemas.openxmlformats.org/officeDocument/2006/relationships/hyperlink" Target="https://law.lis.virginia.gov/admincode/title9/agency25/chapter210/section80/" TargetMode="External"/><Relationship Id="rId52" Type="http://schemas.openxmlformats.org/officeDocument/2006/relationships/hyperlink" Target="http://deqnet/programs/admin/ois/vitafileshare.asp" TargetMode="External"/><Relationship Id="rId60" Type="http://schemas.openxmlformats.org/officeDocument/2006/relationships/hyperlink" Target="mailto:ESSProjects@dwr.virginia.gov" TargetMode="External"/><Relationship Id="rId65" Type="http://schemas.openxmlformats.org/officeDocument/2006/relationships/hyperlink" Target="https://www.lva.virginia.gov/agencies/records/sched_state/GS-101.pdf" TargetMode="External"/><Relationship Id="rId73" Type="http://schemas.openxmlformats.org/officeDocument/2006/relationships/hyperlink" Target="https://www.lva.virginia.gov/agencies/records/sched_state/GS-101.pdf" TargetMode="External"/><Relationship Id="rId78"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w.lis.virginia.gov/admincodefull/title9/agency25/chapter210/partIII/" TargetMode="External"/><Relationship Id="rId18" Type="http://schemas.openxmlformats.org/officeDocument/2006/relationships/hyperlink" Target="https://law.lis.virginia.gov/admincode/title9/agency25/chapter210/section140/" TargetMode="External"/><Relationship Id="rId39" Type="http://schemas.openxmlformats.org/officeDocument/2006/relationships/hyperlink" Target="https://law.lis.virginia.gov/admincode/title9/agency25/chapter210/section80/" TargetMode="External"/><Relationship Id="rId34"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50" Type="http://schemas.openxmlformats.org/officeDocument/2006/relationships/hyperlink" Target="https://law.lis.virginia.gov/vacode/title62.1/chapter3.1/section62.1-44.15:4/" TargetMode="External"/><Relationship Id="rId55" Type="http://schemas.openxmlformats.org/officeDocument/2006/relationships/hyperlink" Target="mailto:Beth.Howell@mrc.virginia.gov" TargetMode="External"/><Relationship Id="rId76" Type="http://schemas.openxmlformats.org/officeDocument/2006/relationships/hyperlink" Target="https://law.lis.virginia.gov/admincode/title9/agency25/chapter210/section230/" TargetMode="External"/><Relationship Id="rId7" Type="http://schemas.openxmlformats.org/officeDocument/2006/relationships/settings" Target="settings.xml"/><Relationship Id="rId71"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2" Type="http://schemas.openxmlformats.org/officeDocument/2006/relationships/customXml" Target="../customXml/item2.xml"/><Relationship Id="rId29" Type="http://schemas.openxmlformats.org/officeDocument/2006/relationships/hyperlink" Target="https://law.lis.virginia.gov/admincode/title9/agency25/chapter210/section80/" TargetMode="External"/><Relationship Id="rId24" Type="http://schemas.openxmlformats.org/officeDocument/2006/relationships/hyperlink" Target="https://law.lis.virginia.gov/admincode/title9/agency25/chapter210/section165/" TargetMode="External"/><Relationship Id="rId40" Type="http://schemas.openxmlformats.org/officeDocument/2006/relationships/hyperlink" Target="https://www.deq.virginia.gov/permits/water/wetlands-streams-vwp" TargetMode="External"/><Relationship Id="rId45" Type="http://schemas.openxmlformats.org/officeDocument/2006/relationships/hyperlink" Target="https://law.lis.virginia.gov/vacode/title62.1/chapter3.1/section62.1-44.15:4/" TargetMode="External"/><Relationship Id="rId66" Type="http://schemas.openxmlformats.org/officeDocument/2006/relationships/hyperlink" Target="https://law.lis.virginia.gov/admincode/title9/agency25/chapter2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w.lis.virginia.gov/vacode/title8.01/chapter8/section8.01-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08462-789F-4EE1-A506-86342A62910C}">
  <ds:schemaRefs>
    <ds:schemaRef ds:uri="http://schemas.microsoft.com/sharepoint/v3/contenttype/forms"/>
  </ds:schemaRefs>
</ds:datastoreItem>
</file>

<file path=customXml/itemProps2.xml><?xml version="1.0" encoding="utf-8"?>
<ds:datastoreItem xmlns:ds="http://schemas.openxmlformats.org/officeDocument/2006/customXml" ds:itemID="{3DFA14D1-B57B-48C1-9861-0AD2B96823E2}">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CFC3174B-ABCB-411E-8DE2-70C6730C415B}">
  <ds:schemaRefs>
    <ds:schemaRef ds:uri="http://schemas.openxmlformats.org/officeDocument/2006/bibliography"/>
  </ds:schemaRefs>
</ds:datastoreItem>
</file>

<file path=customXml/itemProps4.xml><?xml version="1.0" encoding="utf-8"?>
<ds:datastoreItem xmlns:ds="http://schemas.openxmlformats.org/officeDocument/2006/customXml" ds:itemID="{8D55DA5B-47C7-44EB-8E56-A72A92E5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10229</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2024-11-18T21:23:00Z</dcterms:created>
  <dcterms:modified xsi:type="dcterms:W3CDTF">2024-11-18T21:23:00Z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