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3B" w:rsidRDefault="00993B3B"/>
    <w:p w:rsidR="00287810" w:rsidRDefault="00F449A6">
      <w:r>
        <w:t>Revised 09/30</w:t>
      </w:r>
      <w:r w:rsidR="00287810">
        <w:t>/14 TMB</w:t>
      </w:r>
    </w:p>
    <w:p w:rsidR="00287810" w:rsidRDefault="00287810" w:rsidP="00611C2C">
      <w:pPr>
        <w:tabs>
          <w:tab w:val="left" w:pos="1080"/>
        </w:tabs>
      </w:pPr>
    </w:p>
    <w:p w:rsidR="00287810" w:rsidRPr="00B92DA3" w:rsidRDefault="00287810" w:rsidP="00287810">
      <w:pPr>
        <w:jc w:val="both"/>
        <w:rPr>
          <w:b/>
          <w:sz w:val="24"/>
          <w:szCs w:val="24"/>
        </w:rPr>
      </w:pPr>
      <w:r w:rsidRPr="00B92DA3">
        <w:rPr>
          <w:b/>
          <w:sz w:val="24"/>
          <w:szCs w:val="24"/>
        </w:rPr>
        <w:t>Modification of the SPGP</w:t>
      </w:r>
    </w:p>
    <w:p w:rsidR="00287810" w:rsidRDefault="00B92DA3" w:rsidP="00B92DA3">
      <w:pPr>
        <w:jc w:val="both"/>
      </w:pPr>
      <w:r>
        <w:t>Modifications of</w:t>
      </w:r>
      <w:r w:rsidR="00CF7528">
        <w:t xml:space="preserve"> an </w:t>
      </w:r>
      <w:r w:rsidR="00287810">
        <w:t>authorized 12-SPGP-01</w:t>
      </w:r>
      <w:r>
        <w:t xml:space="preserve"> can occur in accordance with the </w:t>
      </w:r>
      <w:r w:rsidR="00287810">
        <w:t xml:space="preserve">12-SPGP-01 </w:t>
      </w:r>
      <w:r>
        <w:t xml:space="preserve">the 12-SPGP-01 </w:t>
      </w:r>
      <w:proofErr w:type="gramStart"/>
      <w:r>
        <w:t>SOP</w:t>
      </w:r>
      <w:r w:rsidR="00287810">
        <w:t>.</w:t>
      </w:r>
      <w:proofErr w:type="gramEnd"/>
      <w:r w:rsidR="00287810">
        <w:t xml:space="preserve">  </w:t>
      </w:r>
      <w:r w:rsidR="00611C2C">
        <w:t xml:space="preserve">The below provides a summary of </w:t>
      </w:r>
      <w:r w:rsidR="003B3DFC">
        <w:t>USACE coordination requirement but you must read the SOP and any reference emails in this procedures folder.</w:t>
      </w:r>
    </w:p>
    <w:tbl>
      <w:tblPr>
        <w:tblStyle w:val="TableGrid"/>
        <w:tblW w:w="0" w:type="auto"/>
        <w:tblLook w:val="04A0"/>
      </w:tblPr>
      <w:tblGrid>
        <w:gridCol w:w="4795"/>
        <w:gridCol w:w="4781"/>
      </w:tblGrid>
      <w:tr w:rsidR="00611C2C" w:rsidRPr="009C3D55" w:rsidTr="003B3DFC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11C2C" w:rsidRPr="00611C2C" w:rsidRDefault="00611C2C" w:rsidP="003B3DFC">
            <w:pPr>
              <w:pStyle w:val="Default"/>
              <w:ind w:left="180" w:hanging="180"/>
              <w:rPr>
                <w:rFonts w:asciiTheme="minorHAnsi" w:hAnsiTheme="minorHAnsi"/>
                <w:sz w:val="20"/>
                <w:szCs w:val="20"/>
              </w:rPr>
            </w:pPr>
          </w:p>
          <w:p w:rsidR="00611C2C" w:rsidRPr="00611C2C" w:rsidRDefault="00611C2C" w:rsidP="003B3DFC">
            <w:pPr>
              <w:pStyle w:val="Default"/>
              <w:ind w:left="18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611C2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Permit Modifications that qualify for a Planned Change for the VWP permit without any previous Section 7 or Section 106 Special Conditions Form or MOA. </w:t>
            </w:r>
          </w:p>
          <w:p w:rsidR="00611C2C" w:rsidRPr="00611C2C" w:rsidRDefault="00611C2C" w:rsidP="003B3DFC">
            <w:pPr>
              <w:rPr>
                <w:sz w:val="20"/>
                <w:szCs w:val="20"/>
              </w:rPr>
            </w:pPr>
          </w:p>
        </w:tc>
      </w:tr>
      <w:tr w:rsidR="00611C2C" w:rsidRPr="009C3D55" w:rsidTr="003B3DFC">
        <w:tc>
          <w:tcPr>
            <w:tcW w:w="4795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nil"/>
            </w:tcBorders>
          </w:tcPr>
          <w:p w:rsidR="00611C2C" w:rsidRPr="00611C2C" w:rsidRDefault="00611C2C" w:rsidP="003B3DFC">
            <w:pPr>
              <w:jc w:val="center"/>
              <w:rPr>
                <w:b/>
                <w:sz w:val="20"/>
                <w:szCs w:val="20"/>
              </w:rPr>
            </w:pPr>
            <w:r w:rsidRPr="00611C2C">
              <w:rPr>
                <w:b/>
                <w:sz w:val="20"/>
                <w:szCs w:val="20"/>
              </w:rPr>
              <w:t>Information  from DEQ to USACE</w:t>
            </w:r>
          </w:p>
        </w:tc>
        <w:tc>
          <w:tcPr>
            <w:tcW w:w="478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611C2C" w:rsidRPr="00611C2C" w:rsidRDefault="00611C2C" w:rsidP="003B3DFC">
            <w:pPr>
              <w:jc w:val="center"/>
              <w:rPr>
                <w:b/>
                <w:sz w:val="20"/>
                <w:szCs w:val="20"/>
              </w:rPr>
            </w:pPr>
            <w:r w:rsidRPr="00611C2C">
              <w:rPr>
                <w:b/>
                <w:sz w:val="20"/>
                <w:szCs w:val="20"/>
              </w:rPr>
              <w:t>Information From USACE to DEQ</w:t>
            </w:r>
          </w:p>
        </w:tc>
      </w:tr>
      <w:tr w:rsidR="00611C2C" w:rsidRPr="009C3D55" w:rsidTr="003B3DFC">
        <w:tc>
          <w:tcPr>
            <w:tcW w:w="479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611C2C" w:rsidRPr="00611C2C" w:rsidRDefault="00611C2C" w:rsidP="003B3DF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11C2C" w:rsidRPr="00611C2C" w:rsidRDefault="00611C2C" w:rsidP="003B3DFC">
            <w:pPr>
              <w:autoSpaceDE w:val="0"/>
              <w:autoSpaceDN w:val="0"/>
              <w:adjustRightInd w:val="0"/>
              <w:ind w:left="180" w:hanging="180"/>
              <w:rPr>
                <w:rFonts w:cs="Times New Roman"/>
                <w:sz w:val="20"/>
                <w:szCs w:val="20"/>
              </w:rPr>
            </w:pPr>
            <w:r w:rsidRPr="00611C2C">
              <w:rPr>
                <w:rFonts w:cs="Wingdings"/>
                <w:color w:val="000000"/>
                <w:sz w:val="20"/>
                <w:szCs w:val="20"/>
              </w:rPr>
              <w:t>None</w:t>
            </w:r>
            <w:r w:rsidR="003B3DFC">
              <w:rPr>
                <w:rFonts w:cs="Wingdings"/>
                <w:color w:val="000000"/>
                <w:sz w:val="20"/>
                <w:szCs w:val="20"/>
              </w:rPr>
              <w:t xml:space="preserve"> (No coordination Required)</w:t>
            </w:r>
          </w:p>
          <w:p w:rsidR="00611C2C" w:rsidRPr="00611C2C" w:rsidRDefault="00611C2C" w:rsidP="003B3DFC">
            <w:pPr>
              <w:rPr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611C2C" w:rsidRPr="00611C2C" w:rsidRDefault="00611C2C" w:rsidP="003B3DFC">
            <w:pPr>
              <w:rPr>
                <w:sz w:val="20"/>
                <w:szCs w:val="20"/>
              </w:rPr>
            </w:pPr>
          </w:p>
          <w:p w:rsidR="00611C2C" w:rsidRPr="00611C2C" w:rsidRDefault="00611C2C" w:rsidP="003B3DFC">
            <w:pPr>
              <w:pStyle w:val="Default"/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611C2C">
              <w:rPr>
                <w:rFonts w:asciiTheme="minorHAnsi" w:hAnsiTheme="minorHAnsi"/>
                <w:sz w:val="20"/>
                <w:szCs w:val="20"/>
              </w:rPr>
              <w:t>None</w:t>
            </w:r>
            <w:r w:rsidR="003B3DFC">
              <w:rPr>
                <w:rFonts w:asciiTheme="minorHAnsi" w:hAnsiTheme="minorHAnsi"/>
                <w:sz w:val="20"/>
                <w:szCs w:val="20"/>
              </w:rPr>
              <w:t xml:space="preserve"> (No coordination Required)</w:t>
            </w:r>
          </w:p>
        </w:tc>
      </w:tr>
      <w:tr w:rsidR="00611C2C" w:rsidRPr="00CA31A9" w:rsidTr="003B3DFC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11C2C" w:rsidRPr="00611C2C" w:rsidRDefault="00611C2C" w:rsidP="003B3DFC">
            <w:pPr>
              <w:pStyle w:val="Default"/>
              <w:ind w:left="180" w:hanging="18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1C2C" w:rsidRPr="00CA31A9" w:rsidTr="003B3DFC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11C2C" w:rsidRPr="00611C2C" w:rsidRDefault="00611C2C" w:rsidP="003B3DFC">
            <w:pPr>
              <w:pStyle w:val="Default"/>
              <w:ind w:left="180" w:hanging="180"/>
              <w:rPr>
                <w:rFonts w:asciiTheme="minorHAnsi" w:hAnsiTheme="minorHAnsi"/>
                <w:sz w:val="20"/>
                <w:szCs w:val="20"/>
              </w:rPr>
            </w:pPr>
          </w:p>
          <w:p w:rsidR="00611C2C" w:rsidRPr="00611C2C" w:rsidRDefault="00611C2C" w:rsidP="003B3DFC">
            <w:pPr>
              <w:pStyle w:val="Default"/>
              <w:ind w:left="18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611C2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Modifications to increase impacts that cause a project exceed the ½ or 300 lf thresholds that did not before. Any project that requires a termination and re-issuance for the VWP permit.</w:t>
            </w:r>
          </w:p>
          <w:p w:rsidR="00611C2C" w:rsidRPr="00611C2C" w:rsidRDefault="00611C2C" w:rsidP="003B3DFC">
            <w:pPr>
              <w:rPr>
                <w:sz w:val="20"/>
                <w:szCs w:val="20"/>
              </w:rPr>
            </w:pPr>
          </w:p>
        </w:tc>
      </w:tr>
      <w:tr w:rsidR="00611C2C" w:rsidRPr="00CA31A9" w:rsidTr="003B3DFC">
        <w:tc>
          <w:tcPr>
            <w:tcW w:w="4795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nil"/>
            </w:tcBorders>
          </w:tcPr>
          <w:p w:rsidR="00611C2C" w:rsidRPr="00611C2C" w:rsidRDefault="00611C2C" w:rsidP="003B3DFC">
            <w:pPr>
              <w:jc w:val="center"/>
              <w:rPr>
                <w:b/>
                <w:sz w:val="20"/>
                <w:szCs w:val="20"/>
              </w:rPr>
            </w:pPr>
            <w:r w:rsidRPr="00611C2C">
              <w:rPr>
                <w:b/>
                <w:sz w:val="20"/>
                <w:szCs w:val="20"/>
              </w:rPr>
              <w:t>Information  from DEQ to USACE</w:t>
            </w:r>
          </w:p>
        </w:tc>
        <w:tc>
          <w:tcPr>
            <w:tcW w:w="478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611C2C" w:rsidRPr="00611C2C" w:rsidRDefault="00611C2C" w:rsidP="003B3DFC">
            <w:pPr>
              <w:jc w:val="center"/>
              <w:rPr>
                <w:b/>
                <w:sz w:val="20"/>
                <w:szCs w:val="20"/>
              </w:rPr>
            </w:pPr>
            <w:r w:rsidRPr="00611C2C">
              <w:rPr>
                <w:b/>
                <w:sz w:val="20"/>
                <w:szCs w:val="20"/>
              </w:rPr>
              <w:t>Information From USACE to DEQ</w:t>
            </w:r>
          </w:p>
        </w:tc>
      </w:tr>
      <w:tr w:rsidR="00611C2C" w:rsidRPr="00CA31A9" w:rsidTr="003B3DFC">
        <w:tc>
          <w:tcPr>
            <w:tcW w:w="479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611C2C" w:rsidRPr="00611C2C" w:rsidRDefault="00611C2C" w:rsidP="003B3DF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11C2C" w:rsidRPr="00611C2C" w:rsidRDefault="00611C2C" w:rsidP="003B3DFC">
            <w:pPr>
              <w:autoSpaceDE w:val="0"/>
              <w:autoSpaceDN w:val="0"/>
              <w:adjustRightInd w:val="0"/>
              <w:ind w:left="180" w:hanging="180"/>
              <w:rPr>
                <w:rFonts w:cs="Times New Roman"/>
                <w:color w:val="000000"/>
                <w:sz w:val="20"/>
                <w:szCs w:val="20"/>
              </w:rPr>
            </w:pPr>
            <w:r w:rsidRPr="00611C2C">
              <w:rPr>
                <w:rFonts w:cs="Wingdings"/>
                <w:color w:val="000000"/>
                <w:sz w:val="20"/>
                <w:szCs w:val="20"/>
              </w:rPr>
              <w:t xml:space="preserve">* </w:t>
            </w:r>
            <w:r w:rsidRPr="00611C2C">
              <w:rPr>
                <w:rFonts w:cs="Times New Roman"/>
                <w:color w:val="000000"/>
                <w:sz w:val="20"/>
                <w:szCs w:val="20"/>
              </w:rPr>
              <w:t xml:space="preserve">A copy of the JPA. </w:t>
            </w:r>
          </w:p>
          <w:p w:rsidR="00611C2C" w:rsidRPr="00611C2C" w:rsidRDefault="00611C2C" w:rsidP="003B3DFC">
            <w:pPr>
              <w:autoSpaceDE w:val="0"/>
              <w:autoSpaceDN w:val="0"/>
              <w:adjustRightInd w:val="0"/>
              <w:ind w:left="180" w:hanging="180"/>
              <w:rPr>
                <w:rFonts w:cs="Times New Roman"/>
                <w:color w:val="000000"/>
                <w:sz w:val="20"/>
                <w:szCs w:val="20"/>
              </w:rPr>
            </w:pPr>
            <w:r w:rsidRPr="00611C2C">
              <w:rPr>
                <w:rFonts w:cs="Wingdings"/>
                <w:color w:val="000000"/>
                <w:sz w:val="20"/>
                <w:szCs w:val="20"/>
              </w:rPr>
              <w:t xml:space="preserve">* </w:t>
            </w:r>
            <w:r w:rsidRPr="00611C2C">
              <w:rPr>
                <w:rFonts w:cs="Times New Roman"/>
                <w:color w:val="000000"/>
                <w:sz w:val="20"/>
                <w:szCs w:val="20"/>
              </w:rPr>
              <w:t xml:space="preserve">A copy of any additional information requests that the </w:t>
            </w:r>
            <w:proofErr w:type="spellStart"/>
            <w:r w:rsidRPr="00611C2C">
              <w:rPr>
                <w:rFonts w:cs="Times New Roman"/>
                <w:color w:val="000000"/>
                <w:sz w:val="20"/>
                <w:szCs w:val="20"/>
              </w:rPr>
              <w:t>VDEQ</w:t>
            </w:r>
            <w:proofErr w:type="spellEnd"/>
            <w:r w:rsidRPr="00611C2C">
              <w:rPr>
                <w:rFonts w:cs="Times New Roman"/>
                <w:color w:val="000000"/>
                <w:sz w:val="20"/>
                <w:szCs w:val="20"/>
              </w:rPr>
              <w:t xml:space="preserve"> has forwarded to the applicant.</w:t>
            </w:r>
          </w:p>
          <w:p w:rsidR="00611C2C" w:rsidRPr="00611C2C" w:rsidRDefault="00611C2C" w:rsidP="003B3DFC">
            <w:pPr>
              <w:autoSpaceDE w:val="0"/>
              <w:autoSpaceDN w:val="0"/>
              <w:adjustRightInd w:val="0"/>
              <w:ind w:left="180" w:hanging="180"/>
              <w:rPr>
                <w:rFonts w:cs="Times New Roman"/>
                <w:sz w:val="20"/>
                <w:szCs w:val="20"/>
              </w:rPr>
            </w:pPr>
            <w:r w:rsidRPr="00611C2C">
              <w:rPr>
                <w:sz w:val="20"/>
                <w:szCs w:val="20"/>
              </w:rPr>
              <w:t xml:space="preserve">* </w:t>
            </w:r>
            <w:r w:rsidRPr="00611C2C">
              <w:rPr>
                <w:rFonts w:cs="Times New Roman"/>
                <w:sz w:val="20"/>
                <w:szCs w:val="20"/>
              </w:rPr>
              <w:t xml:space="preserve">A copy of the SPGP Initial Cultural Resources Screening Form if the </w:t>
            </w:r>
            <w:proofErr w:type="spellStart"/>
            <w:r w:rsidRPr="00611C2C">
              <w:rPr>
                <w:rFonts w:cs="Times New Roman"/>
                <w:sz w:val="20"/>
                <w:szCs w:val="20"/>
              </w:rPr>
              <w:t>VDEQ</w:t>
            </w:r>
            <w:proofErr w:type="spellEnd"/>
            <w:r w:rsidRPr="00611C2C">
              <w:rPr>
                <w:rFonts w:cs="Times New Roman"/>
                <w:sz w:val="20"/>
                <w:szCs w:val="20"/>
              </w:rPr>
              <w:t xml:space="preserve">-CRS determines a Corps Section 106 determination is required in accordance with the SPGP PA. </w:t>
            </w:r>
          </w:p>
          <w:p w:rsidR="00611C2C" w:rsidRPr="00611C2C" w:rsidRDefault="00611C2C" w:rsidP="003B3DFC">
            <w:pPr>
              <w:autoSpaceDE w:val="0"/>
              <w:autoSpaceDN w:val="0"/>
              <w:adjustRightInd w:val="0"/>
              <w:ind w:left="180" w:hanging="180"/>
              <w:rPr>
                <w:rFonts w:cs="Times New Roman"/>
                <w:sz w:val="20"/>
                <w:szCs w:val="20"/>
              </w:rPr>
            </w:pPr>
            <w:r w:rsidRPr="00611C2C">
              <w:rPr>
                <w:rFonts w:cs="Wingdings"/>
                <w:sz w:val="20"/>
                <w:szCs w:val="20"/>
              </w:rPr>
              <w:t xml:space="preserve">* </w:t>
            </w:r>
            <w:r w:rsidRPr="00611C2C">
              <w:rPr>
                <w:rFonts w:cs="Times New Roman"/>
                <w:sz w:val="20"/>
                <w:szCs w:val="20"/>
              </w:rPr>
              <w:t xml:space="preserve">A copy of the IPAC report, </w:t>
            </w:r>
            <w:proofErr w:type="spellStart"/>
            <w:r w:rsidRPr="00611C2C">
              <w:rPr>
                <w:rFonts w:cs="Times New Roman"/>
                <w:sz w:val="20"/>
                <w:szCs w:val="20"/>
              </w:rPr>
              <w:t>SCT</w:t>
            </w:r>
            <w:proofErr w:type="spellEnd"/>
            <w:r w:rsidRPr="00611C2C">
              <w:rPr>
                <w:rFonts w:cs="Times New Roman"/>
                <w:sz w:val="20"/>
                <w:szCs w:val="20"/>
              </w:rPr>
              <w:t xml:space="preserve"> and T/E surveys if formal Section 7 consultation is required </w:t>
            </w:r>
          </w:p>
          <w:p w:rsidR="00611C2C" w:rsidRPr="00611C2C" w:rsidRDefault="00611C2C" w:rsidP="003B3DFC">
            <w:pPr>
              <w:rPr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611C2C" w:rsidRPr="00611C2C" w:rsidRDefault="00611C2C" w:rsidP="003B3DFC">
            <w:pPr>
              <w:rPr>
                <w:sz w:val="20"/>
                <w:szCs w:val="20"/>
              </w:rPr>
            </w:pPr>
          </w:p>
          <w:p w:rsidR="00611C2C" w:rsidRPr="00611C2C" w:rsidRDefault="00611C2C" w:rsidP="003B3DFC">
            <w:pPr>
              <w:autoSpaceDE w:val="0"/>
              <w:autoSpaceDN w:val="0"/>
              <w:adjustRightInd w:val="0"/>
              <w:ind w:left="342" w:hanging="180"/>
              <w:rPr>
                <w:rFonts w:cs="Times New Roman"/>
                <w:color w:val="000000"/>
                <w:sz w:val="20"/>
                <w:szCs w:val="20"/>
              </w:rPr>
            </w:pPr>
            <w:r w:rsidRPr="00611C2C">
              <w:rPr>
                <w:rFonts w:cs="Wingdings"/>
                <w:color w:val="000000"/>
                <w:sz w:val="20"/>
                <w:szCs w:val="20"/>
              </w:rPr>
              <w:t xml:space="preserve">* </w:t>
            </w:r>
            <w:r w:rsidRPr="00611C2C">
              <w:rPr>
                <w:rFonts w:cs="Times New Roman"/>
                <w:color w:val="000000"/>
                <w:sz w:val="20"/>
                <w:szCs w:val="20"/>
              </w:rPr>
              <w:t xml:space="preserve">Notification, in writing, that the Section 106 process has been fulfilled. This should occur only if the </w:t>
            </w:r>
            <w:proofErr w:type="spellStart"/>
            <w:r w:rsidRPr="00611C2C">
              <w:rPr>
                <w:rFonts w:cs="Times New Roman"/>
                <w:color w:val="000000"/>
                <w:sz w:val="20"/>
                <w:szCs w:val="20"/>
              </w:rPr>
              <w:t>VDEQ</w:t>
            </w:r>
            <w:proofErr w:type="spellEnd"/>
            <w:r w:rsidRPr="00611C2C">
              <w:rPr>
                <w:rFonts w:cs="Times New Roman"/>
                <w:color w:val="000000"/>
                <w:sz w:val="20"/>
                <w:szCs w:val="20"/>
              </w:rPr>
              <w:t xml:space="preserve">-CRS has forwarded the project on for further coordination with the Corps. </w:t>
            </w:r>
            <w:r w:rsidRPr="00611C2C">
              <w:rPr>
                <w:sz w:val="20"/>
                <w:szCs w:val="20"/>
              </w:rPr>
              <w:t xml:space="preserve">DEQ must receive this prior to authorization of SPGP. </w:t>
            </w:r>
          </w:p>
          <w:p w:rsidR="00611C2C" w:rsidRPr="00611C2C" w:rsidRDefault="00611C2C" w:rsidP="003B3DFC">
            <w:pPr>
              <w:autoSpaceDE w:val="0"/>
              <w:autoSpaceDN w:val="0"/>
              <w:adjustRightInd w:val="0"/>
              <w:ind w:left="342" w:hanging="180"/>
              <w:rPr>
                <w:rFonts w:cs="Times New Roman"/>
                <w:color w:val="000000"/>
                <w:sz w:val="20"/>
                <w:szCs w:val="20"/>
              </w:rPr>
            </w:pPr>
            <w:r w:rsidRPr="00611C2C">
              <w:rPr>
                <w:rFonts w:cs="Wingdings"/>
                <w:color w:val="000000"/>
                <w:sz w:val="20"/>
                <w:szCs w:val="20"/>
              </w:rPr>
              <w:t xml:space="preserve">* </w:t>
            </w:r>
            <w:r w:rsidRPr="00611C2C">
              <w:rPr>
                <w:rFonts w:cs="Times New Roman"/>
                <w:color w:val="000000"/>
                <w:sz w:val="20"/>
                <w:szCs w:val="20"/>
              </w:rPr>
              <w:t xml:space="preserve">Notification that formal Section 7 consultation has been completed (if applicable). </w:t>
            </w:r>
          </w:p>
          <w:p w:rsidR="00611C2C" w:rsidRPr="00611C2C" w:rsidRDefault="00611C2C" w:rsidP="003B3DFC">
            <w:pPr>
              <w:autoSpaceDE w:val="0"/>
              <w:autoSpaceDN w:val="0"/>
              <w:adjustRightInd w:val="0"/>
              <w:ind w:left="342" w:hanging="180"/>
              <w:rPr>
                <w:rFonts w:cs="Times New Roman"/>
                <w:color w:val="000000"/>
                <w:sz w:val="20"/>
                <w:szCs w:val="20"/>
              </w:rPr>
            </w:pPr>
            <w:r w:rsidRPr="00611C2C">
              <w:rPr>
                <w:rFonts w:cs="Wingdings"/>
                <w:color w:val="000000"/>
                <w:sz w:val="20"/>
                <w:szCs w:val="20"/>
              </w:rPr>
              <w:t xml:space="preserve">* </w:t>
            </w:r>
            <w:r w:rsidRPr="00611C2C">
              <w:rPr>
                <w:rFonts w:cs="Times New Roman"/>
                <w:color w:val="000000"/>
                <w:sz w:val="20"/>
                <w:szCs w:val="20"/>
              </w:rPr>
              <w:t xml:space="preserve">Any comments or objections regarding the project and compensation (if the </w:t>
            </w:r>
            <w:proofErr w:type="spellStart"/>
            <w:r w:rsidRPr="00611C2C">
              <w:rPr>
                <w:rFonts w:cs="Times New Roman"/>
                <w:color w:val="000000"/>
                <w:sz w:val="20"/>
                <w:szCs w:val="20"/>
              </w:rPr>
              <w:t>VDEQ</w:t>
            </w:r>
            <w:proofErr w:type="spellEnd"/>
            <w:r w:rsidRPr="00611C2C">
              <w:rPr>
                <w:rFonts w:cs="Times New Roman"/>
                <w:color w:val="000000"/>
                <w:sz w:val="20"/>
                <w:szCs w:val="20"/>
              </w:rPr>
              <w:t xml:space="preserve"> does not receive comments within the 15-day review period they can assume the Corps has no comments). </w:t>
            </w:r>
          </w:p>
          <w:p w:rsidR="00611C2C" w:rsidRPr="00611C2C" w:rsidRDefault="00611C2C" w:rsidP="003B3DFC">
            <w:pPr>
              <w:autoSpaceDE w:val="0"/>
              <w:autoSpaceDN w:val="0"/>
              <w:adjustRightInd w:val="0"/>
              <w:ind w:left="342" w:hanging="180"/>
              <w:rPr>
                <w:rFonts w:cs="Times New Roman"/>
                <w:color w:val="000000"/>
                <w:sz w:val="20"/>
                <w:szCs w:val="20"/>
              </w:rPr>
            </w:pPr>
            <w:r w:rsidRPr="00611C2C">
              <w:rPr>
                <w:rFonts w:cs="Wingdings"/>
                <w:color w:val="000000"/>
                <w:sz w:val="20"/>
                <w:szCs w:val="20"/>
              </w:rPr>
              <w:t xml:space="preserve">* </w:t>
            </w:r>
            <w:r w:rsidRPr="00611C2C">
              <w:rPr>
                <w:rFonts w:cs="Times New Roman"/>
                <w:color w:val="000000"/>
                <w:sz w:val="20"/>
                <w:szCs w:val="20"/>
              </w:rPr>
              <w:t xml:space="preserve">A signed Special Conditions Form when applicable </w:t>
            </w:r>
          </w:p>
          <w:p w:rsidR="00611C2C" w:rsidRPr="00611C2C" w:rsidRDefault="00611C2C" w:rsidP="003B3DFC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611C2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Notification, in writing, from the </w:t>
            </w:r>
            <w:proofErr w:type="spellStart"/>
            <w:r w:rsidRPr="00611C2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VDEQ</w:t>
            </w:r>
            <w:proofErr w:type="spellEnd"/>
            <w:r w:rsidRPr="00611C2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-CRS or the Corps that the Section 106 process has been completed (regardless of the 15-day suspense date). </w:t>
            </w:r>
          </w:p>
        </w:tc>
      </w:tr>
    </w:tbl>
    <w:p w:rsidR="00611C2C" w:rsidRDefault="00611C2C" w:rsidP="00B92DA3">
      <w:pPr>
        <w:ind w:left="1440"/>
        <w:jc w:val="both"/>
      </w:pPr>
    </w:p>
    <w:p w:rsidR="006248BA" w:rsidRDefault="00F449A6" w:rsidP="00F449A6">
      <w:pPr>
        <w:tabs>
          <w:tab w:val="left" w:pos="7410"/>
        </w:tabs>
        <w:ind w:left="1440"/>
        <w:jc w:val="both"/>
      </w:pPr>
      <w:r>
        <w:tab/>
      </w:r>
    </w:p>
    <w:p w:rsidR="00611C2C" w:rsidRDefault="00611C2C" w:rsidP="00B92DA3">
      <w:pPr>
        <w:ind w:left="1440"/>
        <w:jc w:val="both"/>
      </w:pPr>
    </w:p>
    <w:p w:rsidR="00F449A6" w:rsidRDefault="00F449A6" w:rsidP="00611C2C">
      <w:pPr>
        <w:jc w:val="both"/>
        <w:rPr>
          <w:b/>
          <w:sz w:val="24"/>
          <w:szCs w:val="24"/>
        </w:rPr>
      </w:pPr>
    </w:p>
    <w:p w:rsidR="00F449A6" w:rsidRPr="00F449A6" w:rsidRDefault="00F449A6" w:rsidP="00611C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Generally, there are no specific steps, beyond the coordination, to modify the SPGP authorization in conjunction with the VWPP Permit.  If staff runs into a situation in which the SPGP is being modified but the VWP Permit is not they consult with the supervisor. </w:t>
      </w:r>
    </w:p>
    <w:p w:rsidR="00611C2C" w:rsidRPr="00B92DA3" w:rsidRDefault="00611C2C" w:rsidP="00611C2C">
      <w:pPr>
        <w:jc w:val="both"/>
        <w:rPr>
          <w:b/>
          <w:sz w:val="24"/>
          <w:szCs w:val="24"/>
        </w:rPr>
      </w:pPr>
      <w:r w:rsidRPr="00B92DA3">
        <w:rPr>
          <w:b/>
          <w:sz w:val="24"/>
          <w:szCs w:val="24"/>
        </w:rPr>
        <w:t>Extensions</w:t>
      </w:r>
    </w:p>
    <w:p w:rsidR="00611C2C" w:rsidRDefault="003B3DFC" w:rsidP="00611C2C">
      <w:pPr>
        <w:jc w:val="both"/>
      </w:pPr>
      <w:r>
        <w:t xml:space="preserve">The USACE </w:t>
      </w:r>
      <w:proofErr w:type="spellStart"/>
      <w:r w:rsidR="00611C2C">
        <w:t>PN</w:t>
      </w:r>
      <w:proofErr w:type="spellEnd"/>
      <w:r w:rsidR="00611C2C">
        <w:t xml:space="preserve"> dated May 31, 2012 provides information about transition from the 07-SPGP-01 to the 12-SPGP-01.</w:t>
      </w:r>
    </w:p>
    <w:p w:rsidR="00611C2C" w:rsidRPr="00B92DA3" w:rsidRDefault="00611C2C" w:rsidP="00611C2C">
      <w:pPr>
        <w:pStyle w:val="ListParagraph"/>
        <w:numPr>
          <w:ilvl w:val="0"/>
          <w:numId w:val="1"/>
        </w:numPr>
        <w:jc w:val="both"/>
      </w:pPr>
      <w:r w:rsidRPr="00B92DA3">
        <w:t xml:space="preserve">Because the SPGP type is identified on the cover page of the permit, staff has to complete a Notice of Planned change to update the permit coverpage with a new SPGP reference.  </w:t>
      </w:r>
    </w:p>
    <w:p w:rsidR="003B3DFC" w:rsidRDefault="003B3DFC" w:rsidP="003B3DFC">
      <w:pPr>
        <w:ind w:left="720" w:firstLine="720"/>
        <w:jc w:val="both"/>
      </w:pPr>
      <w:r>
        <w:t>- The NOPC and SPGP Codes s</w:t>
      </w:r>
      <w:r w:rsidR="00611C2C" w:rsidRPr="00B92DA3">
        <w:t xml:space="preserve">hould be entered in CEDS in accordance with CEDs </w:t>
      </w:r>
    </w:p>
    <w:p w:rsidR="005A4FB9" w:rsidRDefault="005A4FB9" w:rsidP="005A4FB9">
      <w:pPr>
        <w:ind w:left="720" w:firstLine="720"/>
        <w:jc w:val="both"/>
      </w:pPr>
      <w:r>
        <w:t xml:space="preserve">-Update </w:t>
      </w:r>
      <w:proofErr w:type="spellStart"/>
      <w:r>
        <w:t>Filelog</w:t>
      </w:r>
      <w:proofErr w:type="spellEnd"/>
    </w:p>
    <w:p w:rsidR="005A4FB9" w:rsidRDefault="005A4FB9" w:rsidP="005A4FB9">
      <w:pPr>
        <w:pStyle w:val="ListParagraph"/>
        <w:numPr>
          <w:ilvl w:val="0"/>
          <w:numId w:val="1"/>
        </w:numPr>
        <w:jc w:val="both"/>
      </w:pPr>
      <w:r w:rsidRPr="005A4FB9">
        <w:rPr>
          <w:u w:val="single"/>
        </w:rPr>
        <w:t>Note</w:t>
      </w:r>
      <w:r>
        <w:t xml:space="preserve">: If the SPGP was issued in a separate letter from the VWP Permit then a NOPC is not necessary to update the SPGP and staff can mail an updated SPGP letter. </w:t>
      </w:r>
    </w:p>
    <w:p w:rsidR="005A4FB9" w:rsidRDefault="005A4FB9" w:rsidP="005A4FB9">
      <w:pPr>
        <w:jc w:val="both"/>
      </w:pPr>
    </w:p>
    <w:p w:rsidR="00CF7528" w:rsidRPr="003B3DFC" w:rsidRDefault="00F449A6" w:rsidP="005A4FB9">
      <w:pPr>
        <w:jc w:val="both"/>
      </w:pPr>
      <w:r>
        <w:rPr>
          <w:b/>
          <w:sz w:val="24"/>
          <w:szCs w:val="24"/>
        </w:rPr>
        <w:t>Request to extend</w:t>
      </w:r>
      <w:r w:rsidR="005A4F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 </w:t>
      </w:r>
      <w:r w:rsidR="005A4FB9">
        <w:rPr>
          <w:b/>
          <w:sz w:val="24"/>
          <w:szCs w:val="24"/>
        </w:rPr>
        <w:t>expired 07-SPGP-01 authorizations:</w:t>
      </w:r>
    </w:p>
    <w:p w:rsidR="00CF7528" w:rsidRDefault="00B92DA3" w:rsidP="00CF7528">
      <w:pPr>
        <w:jc w:val="both"/>
      </w:pPr>
      <w:r>
        <w:t>This will be new issuance</w:t>
      </w:r>
      <w:r w:rsidR="00CF7528" w:rsidRPr="00CF7528">
        <w:t xml:space="preserve"> of the SPGP and new permit application </w:t>
      </w:r>
      <w:r w:rsidR="005A4FB9">
        <w:t xml:space="preserve">is </w:t>
      </w:r>
      <w:r w:rsidR="00CF7528" w:rsidRPr="00CF7528">
        <w:t>required</w:t>
      </w:r>
      <w:r>
        <w:t xml:space="preserve"> by the USACE, but </w:t>
      </w:r>
      <w:r w:rsidRPr="005A4FB9">
        <w:rPr>
          <w:u w:val="single"/>
        </w:rPr>
        <w:t>typically</w:t>
      </w:r>
      <w:r>
        <w:t xml:space="preserve"> the original JPA and previous permit documents are sufficient to</w:t>
      </w:r>
      <w:r w:rsidR="005A4FB9">
        <w:t xml:space="preserve"> serve as the “new” application and</w:t>
      </w:r>
      <w:r>
        <w:t xml:space="preserve"> get the project reauthorized</w:t>
      </w:r>
      <w:r w:rsidR="00CF7528" w:rsidRPr="00CF7528">
        <w:t xml:space="preserve">. </w:t>
      </w:r>
    </w:p>
    <w:p w:rsidR="005A4FB9" w:rsidRPr="00CF7528" w:rsidRDefault="005A4FB9" w:rsidP="00CF7528">
      <w:pPr>
        <w:jc w:val="both"/>
      </w:pPr>
      <w:r>
        <w:t xml:space="preserve">Staff does not get a new permit number if the VWP is still valid. You process everything under the current VWP CEDS record and permit file. </w:t>
      </w:r>
    </w:p>
    <w:p w:rsidR="00CF7528" w:rsidRDefault="00CF7528" w:rsidP="00CF7528">
      <w:pPr>
        <w:jc w:val="both"/>
      </w:pPr>
      <w:r w:rsidRPr="00CF7528">
        <w:t>In</w:t>
      </w:r>
      <w:r w:rsidR="00B92DA3">
        <w:t xml:space="preserve"> these cases, staff should </w:t>
      </w:r>
      <w:r w:rsidRPr="00CF7528">
        <w:t xml:space="preserve">use the </w:t>
      </w:r>
      <w:r w:rsidR="00B92DA3">
        <w:t xml:space="preserve">original JPA </w:t>
      </w:r>
      <w:r w:rsidRPr="00CF7528">
        <w:t>and re</w:t>
      </w:r>
      <w:r w:rsidR="00B92DA3">
        <w:t>-</w:t>
      </w:r>
      <w:r w:rsidRPr="00CF7528">
        <w:t xml:space="preserve">coordinate the project as new SPGP application in accordance with </w:t>
      </w:r>
      <w:r w:rsidR="00B92DA3">
        <w:t xml:space="preserve">the 12-SPGP-01 </w:t>
      </w:r>
      <w:r w:rsidRPr="00CF7528">
        <w:t>SOP</w:t>
      </w:r>
      <w:r w:rsidR="005A4FB9">
        <w:t xml:space="preserve"> for new applications</w:t>
      </w:r>
      <w:r w:rsidRPr="00CF7528">
        <w:t xml:space="preserve">; however, staff should note in the </w:t>
      </w:r>
      <w:r w:rsidR="00B92DA3">
        <w:t xml:space="preserve">coordination </w:t>
      </w:r>
      <w:r w:rsidRPr="00CF7528">
        <w:t>email</w:t>
      </w:r>
      <w:r w:rsidR="00B92DA3">
        <w:t>s that this is a project that wa</w:t>
      </w:r>
      <w:r w:rsidRPr="00CF7528">
        <w:t xml:space="preserve">s previously authorized under </w:t>
      </w:r>
      <w:r w:rsidR="00B92DA3">
        <w:t xml:space="preserve">a </w:t>
      </w:r>
      <w:r w:rsidRPr="00CF7528">
        <w:t>SPGP that expired</w:t>
      </w:r>
      <w:r w:rsidR="00B92DA3">
        <w:t xml:space="preserve"> </w:t>
      </w:r>
      <w:r w:rsidRPr="00CF7528">
        <w:t xml:space="preserve">and </w:t>
      </w:r>
      <w:r w:rsidR="00B92DA3">
        <w:t xml:space="preserve">staff should provide </w:t>
      </w:r>
      <w:r w:rsidRPr="00CF7528">
        <w:t xml:space="preserve">the status of the VWP Permit. </w:t>
      </w:r>
      <w:r w:rsidR="00B92DA3">
        <w:t xml:space="preserve">In addition, staff should attach copies of any of the previous permits or any other significant information, pertaining to previous 106, FWS comments or EPA comments. </w:t>
      </w:r>
    </w:p>
    <w:p w:rsidR="005A4FB9" w:rsidRDefault="005A4FB9" w:rsidP="00CF7528">
      <w:pPr>
        <w:jc w:val="both"/>
      </w:pPr>
      <w:r>
        <w:lastRenderedPageBreak/>
        <w:t xml:space="preserve">Once the SPGP is cleared for issuance in accordance with the SPGP SOP and out procedures, you will complete a VWP NOPC to update the coverpage to include the new SPGP.  </w:t>
      </w:r>
    </w:p>
    <w:p w:rsidR="005A4FB9" w:rsidRDefault="005A4FB9" w:rsidP="00CF7528">
      <w:pPr>
        <w:jc w:val="both"/>
      </w:pPr>
      <w:r w:rsidRPr="005A4FB9">
        <w:rPr>
          <w:u w:val="single"/>
        </w:rPr>
        <w:t>Note</w:t>
      </w:r>
      <w:r>
        <w:t xml:space="preserve">: If the SPGP was issued in a separate letter from the VWP Permit then a NOPC is not necessary to update the SPGP and staff can mail an updated SPGP letter. </w:t>
      </w:r>
    </w:p>
    <w:p w:rsidR="005A4FB9" w:rsidRPr="00CF7528" w:rsidRDefault="005A4FB9" w:rsidP="00CF7528">
      <w:pPr>
        <w:jc w:val="both"/>
      </w:pPr>
    </w:p>
    <w:p w:rsidR="00287810" w:rsidRDefault="00287810" w:rsidP="00287810">
      <w:pPr>
        <w:ind w:left="1440" w:firstLine="720"/>
      </w:pPr>
    </w:p>
    <w:sectPr w:rsidR="00287810" w:rsidSect="00993B3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9A6" w:rsidRDefault="00F449A6" w:rsidP="00F449A6">
      <w:pPr>
        <w:spacing w:after="0" w:line="240" w:lineRule="auto"/>
      </w:pPr>
      <w:r>
        <w:separator/>
      </w:r>
    </w:p>
  </w:endnote>
  <w:endnote w:type="continuationSeparator" w:id="0">
    <w:p w:rsidR="00F449A6" w:rsidRDefault="00F449A6" w:rsidP="00F4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770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449A6" w:rsidRDefault="00F449A6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49A6" w:rsidRDefault="00F449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9A6" w:rsidRDefault="00F449A6" w:rsidP="00F449A6">
      <w:pPr>
        <w:spacing w:after="0" w:line="240" w:lineRule="auto"/>
      </w:pPr>
      <w:r>
        <w:separator/>
      </w:r>
    </w:p>
  </w:footnote>
  <w:footnote w:type="continuationSeparator" w:id="0">
    <w:p w:rsidR="00F449A6" w:rsidRDefault="00F449A6" w:rsidP="00F4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A6" w:rsidRDefault="00F449A6" w:rsidP="00F449A6">
    <w:pPr>
      <w:jc w:val="center"/>
    </w:pPr>
    <w:r>
      <w:t>SPGP Modifications and Extensions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72E47"/>
    <w:multiLevelType w:val="hybridMultilevel"/>
    <w:tmpl w:val="2C16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D4DC0"/>
    <w:multiLevelType w:val="hybridMultilevel"/>
    <w:tmpl w:val="6CEAC6B6"/>
    <w:lvl w:ilvl="0" w:tplc="24505B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810"/>
    <w:rsid w:val="00287810"/>
    <w:rsid w:val="003B3DFC"/>
    <w:rsid w:val="00485E58"/>
    <w:rsid w:val="004B7B85"/>
    <w:rsid w:val="005A4FB9"/>
    <w:rsid w:val="00611C2C"/>
    <w:rsid w:val="006248BA"/>
    <w:rsid w:val="00774D85"/>
    <w:rsid w:val="00871218"/>
    <w:rsid w:val="00937D6D"/>
    <w:rsid w:val="00984BCD"/>
    <w:rsid w:val="00993B3B"/>
    <w:rsid w:val="00A52016"/>
    <w:rsid w:val="00A520CA"/>
    <w:rsid w:val="00AF3CD1"/>
    <w:rsid w:val="00B92DA3"/>
    <w:rsid w:val="00C42599"/>
    <w:rsid w:val="00CF7528"/>
    <w:rsid w:val="00D41E78"/>
    <w:rsid w:val="00E605EE"/>
    <w:rsid w:val="00E64F9C"/>
    <w:rsid w:val="00E86401"/>
    <w:rsid w:val="00F4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1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DA3"/>
    <w:pPr>
      <w:ind w:left="720"/>
      <w:contextualSpacing/>
    </w:pPr>
  </w:style>
  <w:style w:type="paragraph" w:customStyle="1" w:styleId="Default">
    <w:name w:val="Default"/>
    <w:rsid w:val="006248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24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44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9A6"/>
  </w:style>
  <w:style w:type="paragraph" w:styleId="Footer">
    <w:name w:val="footer"/>
    <w:basedOn w:val="Normal"/>
    <w:link w:val="FooterChar"/>
    <w:uiPriority w:val="99"/>
    <w:unhideWhenUsed/>
    <w:rsid w:val="00F44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TrishaBeasley</dc:creator>
  <cp:lastModifiedBy>TrishaBeasley</cp:lastModifiedBy>
  <cp:revision>4</cp:revision>
  <dcterms:created xsi:type="dcterms:W3CDTF">2014-09-26T17:03:00Z</dcterms:created>
  <dcterms:modified xsi:type="dcterms:W3CDTF">2014-09-30T12:42:00Z</dcterms:modified>
</cp:coreProperties>
</file>