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CD883" w14:textId="5D224B92" w:rsidR="007C448E" w:rsidRPr="007448B9" w:rsidRDefault="00405C73" w:rsidP="00405C73">
      <w:pPr>
        <w:jc w:val="center"/>
      </w:pPr>
      <w:r>
        <w:t>Primary &amp; Secondary Geographic Service Areas (GSAs)</w:t>
      </w:r>
    </w:p>
    <w:p w14:paraId="062046A3" w14:textId="74EE407A" w:rsidR="0041606E" w:rsidRDefault="007448B9" w:rsidP="00895B8A">
      <w:pPr>
        <w:jc w:val="center"/>
      </w:pPr>
      <w:r w:rsidRPr="00895B8A">
        <w:t>Q</w:t>
      </w:r>
      <w:r w:rsidR="0084205C">
        <w:t>UESTIONS AND ANSWERS</w:t>
      </w:r>
    </w:p>
    <w:p w14:paraId="4DDEEA5E" w14:textId="5150E79B" w:rsidR="00BD1DA3" w:rsidRDefault="00BD1DA3" w:rsidP="00BD1DA3">
      <w:pPr>
        <w:pStyle w:val="CommentText"/>
        <w:rPr>
          <w:sz w:val="22"/>
          <w:szCs w:val="22"/>
        </w:rPr>
      </w:pPr>
    </w:p>
    <w:p w14:paraId="1E366AA6" w14:textId="0E98FDF3" w:rsidR="007C448E" w:rsidRPr="007448B9" w:rsidRDefault="007C448E" w:rsidP="0062319A">
      <w:pPr>
        <w:pStyle w:val="CommentText"/>
        <w:numPr>
          <w:ilvl w:val="0"/>
          <w:numId w:val="3"/>
        </w:numPr>
        <w:rPr>
          <w:sz w:val="22"/>
          <w:szCs w:val="22"/>
        </w:rPr>
      </w:pPr>
      <w:r w:rsidRPr="007448B9">
        <w:rPr>
          <w:sz w:val="22"/>
          <w:szCs w:val="22"/>
        </w:rPr>
        <w:t>Should the permit be written to include mitigation requirements only for use of a Secondary GSA? Or to include both standard mitigation and Secondary GSA?</w:t>
      </w:r>
    </w:p>
    <w:p w14:paraId="0A067A6F" w14:textId="66A451CE" w:rsidR="00C90273" w:rsidRPr="007448B9" w:rsidRDefault="00AD00F5" w:rsidP="00E61083">
      <w:pPr>
        <w:pStyle w:val="CommentText"/>
        <w:ind w:left="720"/>
        <w:rPr>
          <w:color w:val="FF0000"/>
          <w:sz w:val="22"/>
          <w:szCs w:val="22"/>
        </w:rPr>
      </w:pPr>
      <w:r w:rsidRPr="00F65CEB">
        <w:rPr>
          <w:i/>
          <w:color w:val="0000FF"/>
          <w:sz w:val="22"/>
          <w:szCs w:val="22"/>
        </w:rPr>
        <w:t>Permit c</w:t>
      </w:r>
      <w:r w:rsidR="00E61083" w:rsidRPr="00F65CEB">
        <w:rPr>
          <w:i/>
          <w:color w:val="0000FF"/>
          <w:sz w:val="22"/>
          <w:szCs w:val="22"/>
        </w:rPr>
        <w:t>ould be written to</w:t>
      </w:r>
      <w:r w:rsidR="00C90273" w:rsidRPr="00F65CEB">
        <w:rPr>
          <w:i/>
          <w:color w:val="0000FF"/>
          <w:sz w:val="22"/>
          <w:szCs w:val="22"/>
        </w:rPr>
        <w:t xml:space="preserve"> cover requirements for </w:t>
      </w:r>
      <w:r w:rsidR="007448B9" w:rsidRPr="00F65CEB">
        <w:rPr>
          <w:i/>
          <w:color w:val="0000FF"/>
          <w:sz w:val="22"/>
          <w:szCs w:val="22"/>
        </w:rPr>
        <w:t>both</w:t>
      </w:r>
      <w:r w:rsidR="00C90273" w:rsidRPr="00F65CEB">
        <w:rPr>
          <w:i/>
          <w:color w:val="0000FF"/>
          <w:sz w:val="22"/>
          <w:szCs w:val="22"/>
        </w:rPr>
        <w:t xml:space="preserve"> Primary </w:t>
      </w:r>
      <w:r w:rsidR="007448B9" w:rsidRPr="00F65CEB">
        <w:rPr>
          <w:i/>
          <w:color w:val="0000FF"/>
          <w:sz w:val="22"/>
          <w:szCs w:val="22"/>
        </w:rPr>
        <w:t>and</w:t>
      </w:r>
      <w:r w:rsidR="00C90273" w:rsidRPr="00F65CEB">
        <w:rPr>
          <w:i/>
          <w:color w:val="0000FF"/>
          <w:sz w:val="22"/>
          <w:szCs w:val="22"/>
        </w:rPr>
        <w:t xml:space="preserve"> Secondary GSA</w:t>
      </w:r>
      <w:r w:rsidR="004A5ED3">
        <w:rPr>
          <w:i/>
          <w:color w:val="0000FF"/>
          <w:sz w:val="22"/>
          <w:szCs w:val="22"/>
        </w:rPr>
        <w:t>.</w:t>
      </w:r>
    </w:p>
    <w:p w14:paraId="62708092" w14:textId="6386B842" w:rsidR="007C448E" w:rsidRPr="007448B9" w:rsidRDefault="007C448E" w:rsidP="0062319A">
      <w:pPr>
        <w:pStyle w:val="CommentText"/>
        <w:numPr>
          <w:ilvl w:val="0"/>
          <w:numId w:val="3"/>
        </w:numPr>
        <w:rPr>
          <w:sz w:val="22"/>
          <w:szCs w:val="22"/>
        </w:rPr>
      </w:pPr>
      <w:r w:rsidRPr="007448B9">
        <w:rPr>
          <w:sz w:val="22"/>
          <w:szCs w:val="22"/>
        </w:rPr>
        <w:t xml:space="preserve">Does the permit need to include </w:t>
      </w:r>
      <w:r w:rsidR="0018623E">
        <w:rPr>
          <w:sz w:val="22"/>
          <w:szCs w:val="22"/>
        </w:rPr>
        <w:t xml:space="preserve">a </w:t>
      </w:r>
      <w:r w:rsidRPr="007448B9">
        <w:rPr>
          <w:sz w:val="22"/>
          <w:szCs w:val="22"/>
        </w:rPr>
        <w:t xml:space="preserve">condition that prior to taking impacts and purchasing credits the permittee must look at banks with credits available in the Primary SA first and only if at that time there are no credits available go to the Secondary GSA? </w:t>
      </w:r>
    </w:p>
    <w:p w14:paraId="5C69D3BD" w14:textId="30DBA81E" w:rsidR="0018623E" w:rsidRPr="00F65CEB" w:rsidRDefault="0018623E" w:rsidP="00A82353">
      <w:pPr>
        <w:pStyle w:val="CommentText"/>
        <w:ind w:left="720"/>
        <w:rPr>
          <w:i/>
          <w:color w:val="0000FF"/>
          <w:sz w:val="22"/>
          <w:szCs w:val="22"/>
        </w:rPr>
      </w:pPr>
      <w:r w:rsidRPr="00F65CEB">
        <w:rPr>
          <w:i/>
          <w:color w:val="0000FF"/>
          <w:sz w:val="22"/>
          <w:szCs w:val="22"/>
        </w:rPr>
        <w:t xml:space="preserve">No.  If the permit has been issued to allow for the use of credits from a Secondary GSA, the permittee is not required to check for credits within a Primary GSA, although, they may voluntarily do so.  </w:t>
      </w:r>
    </w:p>
    <w:p w14:paraId="1ABB4AEF" w14:textId="100A4F99" w:rsidR="007C448E" w:rsidRPr="007448B9" w:rsidRDefault="007C448E" w:rsidP="00D946A6">
      <w:pPr>
        <w:pStyle w:val="ListParagraph"/>
        <w:numPr>
          <w:ilvl w:val="0"/>
          <w:numId w:val="3"/>
        </w:numPr>
      </w:pPr>
      <w:r w:rsidRPr="007448B9">
        <w:t>What is the process/expectations for projects that have approved permits but have delayed construction because Primary SA credits have not been available?</w:t>
      </w:r>
    </w:p>
    <w:p w14:paraId="0122E70C" w14:textId="0340F248" w:rsidR="001D67D2" w:rsidRPr="00F65CEB" w:rsidRDefault="0018623E" w:rsidP="001D67D2">
      <w:pPr>
        <w:ind w:left="720"/>
        <w:rPr>
          <w:i/>
          <w:color w:val="0000FF"/>
        </w:rPr>
      </w:pPr>
      <w:r w:rsidRPr="00F65CEB">
        <w:rPr>
          <w:i/>
          <w:color w:val="0000FF"/>
        </w:rPr>
        <w:t xml:space="preserve">If the permit was issued and did not authorize the use of credits from a Secondary GSA, and assuming the project otherwise qualifies </w:t>
      </w:r>
      <w:r w:rsidR="007946F0" w:rsidRPr="00F65CEB">
        <w:rPr>
          <w:i/>
          <w:color w:val="0000FF"/>
        </w:rPr>
        <w:t xml:space="preserve">to </w:t>
      </w:r>
      <w:r w:rsidRPr="00F65CEB">
        <w:rPr>
          <w:i/>
          <w:color w:val="0000FF"/>
        </w:rPr>
        <w:t xml:space="preserve">use credits from a Secondary GSA, the permittee will need to submit a </w:t>
      </w:r>
      <w:r w:rsidR="001D67D2" w:rsidRPr="00F65CEB">
        <w:rPr>
          <w:i/>
          <w:color w:val="0000FF"/>
        </w:rPr>
        <w:t>N</w:t>
      </w:r>
      <w:r w:rsidRPr="00F65CEB">
        <w:rPr>
          <w:i/>
          <w:color w:val="0000FF"/>
        </w:rPr>
        <w:t xml:space="preserve">otice </w:t>
      </w:r>
      <w:r w:rsidR="00BC601D" w:rsidRPr="00F65CEB">
        <w:rPr>
          <w:i/>
          <w:color w:val="0000FF"/>
        </w:rPr>
        <w:t>of</w:t>
      </w:r>
      <w:r w:rsidRPr="00F65CEB">
        <w:rPr>
          <w:i/>
          <w:color w:val="0000FF"/>
        </w:rPr>
        <w:t xml:space="preserve"> </w:t>
      </w:r>
      <w:r w:rsidR="001D67D2" w:rsidRPr="00F65CEB">
        <w:rPr>
          <w:i/>
          <w:color w:val="0000FF"/>
        </w:rPr>
        <w:t>P</w:t>
      </w:r>
      <w:r w:rsidRPr="00F65CEB">
        <w:rPr>
          <w:i/>
          <w:color w:val="0000FF"/>
        </w:rPr>
        <w:t xml:space="preserve">lanned </w:t>
      </w:r>
      <w:r w:rsidR="001D67D2" w:rsidRPr="00F65CEB">
        <w:rPr>
          <w:i/>
          <w:color w:val="0000FF"/>
        </w:rPr>
        <w:t>C</w:t>
      </w:r>
      <w:r w:rsidRPr="00F65CEB">
        <w:rPr>
          <w:i/>
          <w:color w:val="0000FF"/>
        </w:rPr>
        <w:t>hance</w:t>
      </w:r>
      <w:r w:rsidR="001D67D2" w:rsidRPr="00F65CEB">
        <w:rPr>
          <w:i/>
          <w:color w:val="0000FF"/>
        </w:rPr>
        <w:t xml:space="preserve">. </w:t>
      </w:r>
      <w:r w:rsidR="000A6EB5" w:rsidRPr="00F65CEB">
        <w:rPr>
          <w:i/>
          <w:color w:val="0000FF"/>
        </w:rPr>
        <w:t xml:space="preserve"> </w:t>
      </w:r>
      <w:r w:rsidRPr="00F65CEB">
        <w:rPr>
          <w:i/>
          <w:color w:val="0000FF"/>
        </w:rPr>
        <w:t>The permit will need to be revised to include the appropriate mitigation credits required for using a Secondary GSA</w:t>
      </w:r>
      <w:r w:rsidR="00C90273" w:rsidRPr="00F65CEB">
        <w:rPr>
          <w:i/>
          <w:color w:val="0000FF"/>
        </w:rPr>
        <w:t xml:space="preserve"> and Tree </w:t>
      </w:r>
      <w:r w:rsidR="00AD00F5" w:rsidRPr="00F65CEB">
        <w:rPr>
          <w:i/>
          <w:color w:val="0000FF"/>
        </w:rPr>
        <w:t xml:space="preserve">Preservation </w:t>
      </w:r>
      <w:r w:rsidR="00A13BD6" w:rsidRPr="00F65CEB">
        <w:rPr>
          <w:i/>
          <w:color w:val="0000FF"/>
        </w:rPr>
        <w:t xml:space="preserve">and </w:t>
      </w:r>
      <w:r w:rsidR="00C90273" w:rsidRPr="00F65CEB">
        <w:rPr>
          <w:i/>
          <w:color w:val="0000FF"/>
        </w:rPr>
        <w:t>Plan</w:t>
      </w:r>
      <w:r w:rsidR="00A31ABC" w:rsidRPr="00F65CEB">
        <w:rPr>
          <w:i/>
          <w:color w:val="0000FF"/>
        </w:rPr>
        <w:t>, if required</w:t>
      </w:r>
      <w:r w:rsidR="00AD00F5" w:rsidRPr="00F65CEB">
        <w:rPr>
          <w:i/>
          <w:color w:val="0000FF"/>
        </w:rPr>
        <w:t>.</w:t>
      </w:r>
    </w:p>
    <w:p w14:paraId="0D5D9D1C" w14:textId="0D101985" w:rsidR="00BD1DA3" w:rsidRPr="007448B9" w:rsidRDefault="00BD1DA3" w:rsidP="00D946A6">
      <w:pPr>
        <w:pStyle w:val="ListParagraph"/>
        <w:numPr>
          <w:ilvl w:val="0"/>
          <w:numId w:val="3"/>
        </w:numPr>
      </w:pPr>
      <w:r w:rsidRPr="007448B9">
        <w:t xml:space="preserve">If project </w:t>
      </w:r>
      <w:r w:rsidR="00D946A6">
        <w:t>proposes the use of Secondary GSA credits</w:t>
      </w:r>
      <w:r w:rsidRPr="007448B9">
        <w:t xml:space="preserve">, are they required to do any sort of functional assessment?  </w:t>
      </w:r>
    </w:p>
    <w:p w14:paraId="5B60F192" w14:textId="69F41F16" w:rsidR="00BD1DA3" w:rsidRPr="00F65CEB" w:rsidRDefault="00BD1DA3" w:rsidP="00BD1DA3">
      <w:pPr>
        <w:ind w:left="720"/>
        <w:rPr>
          <w:i/>
          <w:color w:val="0000FF"/>
        </w:rPr>
      </w:pPr>
      <w:r w:rsidRPr="00F65CEB">
        <w:rPr>
          <w:i/>
          <w:color w:val="0000FF"/>
        </w:rPr>
        <w:t>No – It is an</w:t>
      </w:r>
      <w:r w:rsidR="00D946A6" w:rsidRPr="00F65CEB">
        <w:rPr>
          <w:i/>
          <w:color w:val="0000FF"/>
        </w:rPr>
        <w:t xml:space="preserve"> approved mitigation bank or in-lieu fee</w:t>
      </w:r>
      <w:r w:rsidRPr="00F65CEB">
        <w:rPr>
          <w:i/>
          <w:color w:val="0000FF"/>
        </w:rPr>
        <w:t xml:space="preserve"> site.  Functional assessment is only for non-standard ratios or to use a different option on the hierarchy.</w:t>
      </w:r>
    </w:p>
    <w:p w14:paraId="5C986A3F" w14:textId="77777777" w:rsidR="00BD1DA3" w:rsidRPr="007448B9" w:rsidRDefault="00BD1DA3" w:rsidP="00BD1DA3">
      <w:pPr>
        <w:pStyle w:val="ListParagraph"/>
        <w:rPr>
          <w:color w:val="FF0000"/>
        </w:rPr>
      </w:pPr>
    </w:p>
    <w:p w14:paraId="586FFA01" w14:textId="3E7933AE" w:rsidR="00BD1DA3" w:rsidRPr="007448B9" w:rsidRDefault="00BD1DA3" w:rsidP="00D946A6">
      <w:pPr>
        <w:pStyle w:val="ListParagraph"/>
        <w:numPr>
          <w:ilvl w:val="0"/>
          <w:numId w:val="3"/>
        </w:numPr>
      </w:pPr>
      <w:r w:rsidRPr="007448B9">
        <w:t xml:space="preserve">If </w:t>
      </w:r>
      <w:r w:rsidR="00671B5B">
        <w:t xml:space="preserve">the use of </w:t>
      </w:r>
      <w:r w:rsidRPr="007448B9">
        <w:t xml:space="preserve">Secondary GSA </w:t>
      </w:r>
      <w:r w:rsidR="00671B5B">
        <w:t xml:space="preserve">credits </w:t>
      </w:r>
      <w:r w:rsidR="007946F0">
        <w:t xml:space="preserve">is </w:t>
      </w:r>
      <w:r w:rsidR="00671B5B">
        <w:t xml:space="preserve">approvable and included in the permit, </w:t>
      </w:r>
      <w:r w:rsidRPr="007448B9">
        <w:t>should we add tree plan into conditions as well?</w:t>
      </w:r>
      <w:r w:rsidR="007946F0">
        <w:t xml:space="preserve"> When should the tree plan be provided? </w:t>
      </w:r>
    </w:p>
    <w:p w14:paraId="469CE1CD" w14:textId="1B3CE785" w:rsidR="007946F0" w:rsidRPr="00F65CEB" w:rsidRDefault="00290FE1" w:rsidP="00D946A6">
      <w:pPr>
        <w:ind w:left="720"/>
        <w:rPr>
          <w:i/>
          <w:color w:val="0000FF"/>
        </w:rPr>
      </w:pPr>
      <w:r w:rsidRPr="00F65CEB">
        <w:rPr>
          <w:i/>
          <w:color w:val="0000FF"/>
        </w:rPr>
        <w:t xml:space="preserve">Yes.  Once the permittee has requested to use credits from a Secondary GSA (with permit application or through NOPC process), then Tree Preservation and Replacement Plan requirements should be added.  </w:t>
      </w:r>
      <w:r w:rsidR="007946F0" w:rsidRPr="00F65CEB">
        <w:rPr>
          <w:i/>
          <w:color w:val="0000FF"/>
        </w:rPr>
        <w:t xml:space="preserve">A </w:t>
      </w:r>
      <w:r w:rsidR="002D2CF2" w:rsidRPr="00F65CEB">
        <w:rPr>
          <w:i/>
          <w:color w:val="0000FF"/>
        </w:rPr>
        <w:t>T</w:t>
      </w:r>
      <w:r w:rsidR="007946F0" w:rsidRPr="00F65CEB">
        <w:rPr>
          <w:i/>
          <w:color w:val="0000FF"/>
        </w:rPr>
        <w:t xml:space="preserve">ree </w:t>
      </w:r>
      <w:r w:rsidR="002D2CF2" w:rsidRPr="00F65CEB">
        <w:rPr>
          <w:i/>
          <w:color w:val="0000FF"/>
        </w:rPr>
        <w:t>Preservation and Replacement P</w:t>
      </w:r>
      <w:r w:rsidR="007946F0" w:rsidRPr="00F65CEB">
        <w:rPr>
          <w:i/>
          <w:color w:val="0000FF"/>
        </w:rPr>
        <w:t xml:space="preserve">lan should be provided </w:t>
      </w:r>
      <w:r w:rsidRPr="00F65CEB">
        <w:rPr>
          <w:i/>
          <w:color w:val="0000FF"/>
        </w:rPr>
        <w:t>with the proof of credit purchase, at the latest</w:t>
      </w:r>
      <w:r w:rsidR="00630ACB" w:rsidRPr="00F65CEB">
        <w:rPr>
          <w:i/>
          <w:color w:val="0000FF"/>
        </w:rPr>
        <w:t xml:space="preserve"> </w:t>
      </w:r>
      <w:r w:rsidRPr="00F65CEB">
        <w:rPr>
          <w:i/>
          <w:color w:val="0000FF"/>
        </w:rPr>
        <w:t>(per Code of Virginia), but may be provided</w:t>
      </w:r>
      <w:r w:rsidR="004A5ED3">
        <w:rPr>
          <w:i/>
          <w:color w:val="0000FF"/>
        </w:rPr>
        <w:t xml:space="preserve"> with the application or NOPC.</w:t>
      </w:r>
    </w:p>
    <w:p w14:paraId="2C29C70C" w14:textId="6D2A9A73" w:rsidR="00BD1DA3" w:rsidRPr="007448B9" w:rsidRDefault="00BD1DA3" w:rsidP="002D2CF2">
      <w:pPr>
        <w:pStyle w:val="ListParagraph"/>
        <w:numPr>
          <w:ilvl w:val="0"/>
          <w:numId w:val="3"/>
        </w:numPr>
      </w:pPr>
      <w:r w:rsidRPr="007448B9">
        <w:t xml:space="preserve">If the project does not take all of the impacts that were </w:t>
      </w:r>
      <w:r w:rsidR="002D2CF2">
        <w:t>permitted and does not use all the Secondary GSA credits purchased, could they apply unused</w:t>
      </w:r>
      <w:r w:rsidRPr="007448B9">
        <w:t xml:space="preserve"> </w:t>
      </w:r>
      <w:r w:rsidR="002D2CF2">
        <w:t xml:space="preserve">Secondary GSA credits </w:t>
      </w:r>
      <w:r w:rsidRPr="007448B9">
        <w:t>to a new project or a future phase?  What if there is a Primary GSA to cover the new project or future phase?</w:t>
      </w:r>
    </w:p>
    <w:p w14:paraId="59C5D28D" w14:textId="77777777" w:rsidR="00BD1DA3" w:rsidRPr="007448B9" w:rsidRDefault="00BD1DA3" w:rsidP="00BD1DA3">
      <w:pPr>
        <w:pStyle w:val="ListParagraph"/>
      </w:pPr>
    </w:p>
    <w:p w14:paraId="4DD60A89" w14:textId="77777777" w:rsidR="00070312" w:rsidRPr="00F65CEB" w:rsidRDefault="0062319A" w:rsidP="00070312">
      <w:pPr>
        <w:pStyle w:val="ListParagraph"/>
        <w:rPr>
          <w:i/>
          <w:color w:val="FF0000"/>
        </w:rPr>
      </w:pPr>
      <w:r w:rsidRPr="00F65CEB">
        <w:rPr>
          <w:i/>
          <w:color w:val="0000FF"/>
        </w:rPr>
        <w:t>TBD.</w:t>
      </w:r>
    </w:p>
    <w:p w14:paraId="3F86FED9" w14:textId="77777777" w:rsidR="00070312" w:rsidRPr="00070312" w:rsidRDefault="00070312" w:rsidP="00070312">
      <w:pPr>
        <w:pStyle w:val="ListParagraph"/>
      </w:pPr>
    </w:p>
    <w:p w14:paraId="77BD0223" w14:textId="11C763A1" w:rsidR="000242EC" w:rsidRPr="00070312" w:rsidRDefault="007946F0" w:rsidP="002D2CF2">
      <w:pPr>
        <w:pStyle w:val="ListParagraph"/>
        <w:numPr>
          <w:ilvl w:val="0"/>
          <w:numId w:val="3"/>
        </w:numPr>
      </w:pPr>
      <w:r>
        <w:lastRenderedPageBreak/>
        <w:t>Is there</w:t>
      </w:r>
      <w:r w:rsidR="00070312" w:rsidRPr="00070312">
        <w:t xml:space="preserve"> an </w:t>
      </w:r>
      <w:r w:rsidR="000242EC" w:rsidRPr="00070312">
        <w:t>Example GSA Map and description</w:t>
      </w:r>
      <w:r>
        <w:t xml:space="preserve"> available for </w:t>
      </w:r>
      <w:r w:rsidR="002D2CF2">
        <w:t>DEQ permit writers</w:t>
      </w:r>
      <w:r w:rsidR="000242EC" w:rsidRPr="00070312">
        <w:t>?</w:t>
      </w:r>
    </w:p>
    <w:p w14:paraId="37116635" w14:textId="77777777" w:rsidR="000242EC" w:rsidRDefault="000242EC" w:rsidP="000242EC">
      <w:pPr>
        <w:pStyle w:val="ListParagraph"/>
        <w:rPr>
          <w:color w:val="FF0000"/>
        </w:rPr>
      </w:pPr>
    </w:p>
    <w:p w14:paraId="53B9DBB1" w14:textId="280E1DC2" w:rsidR="000242EC" w:rsidRPr="00F65CEB" w:rsidRDefault="000242EC" w:rsidP="000242EC">
      <w:pPr>
        <w:pStyle w:val="ListParagraph"/>
        <w:rPr>
          <w:i/>
          <w:color w:val="FF0000"/>
        </w:rPr>
      </w:pPr>
      <w:r w:rsidRPr="00F65CEB">
        <w:rPr>
          <w:i/>
          <w:color w:val="0000FF"/>
        </w:rPr>
        <w:t>An example</w:t>
      </w:r>
      <w:r w:rsidR="00070312" w:rsidRPr="00F65CEB">
        <w:rPr>
          <w:i/>
          <w:color w:val="0000FF"/>
        </w:rPr>
        <w:t xml:space="preserve"> of a GSA Map and description are</w:t>
      </w:r>
      <w:r w:rsidR="000517F5" w:rsidRPr="00F65CEB">
        <w:rPr>
          <w:i/>
          <w:color w:val="0000FF"/>
        </w:rPr>
        <w:t xml:space="preserve"> located in</w:t>
      </w:r>
      <w:r w:rsidRPr="00F65CEB">
        <w:rPr>
          <w:i/>
          <w:color w:val="0000FF"/>
        </w:rPr>
        <w:t xml:space="preserve"> </w:t>
      </w:r>
      <w:r w:rsidR="000517F5" w:rsidRPr="00F65CEB">
        <w:rPr>
          <w:i/>
          <w:color w:val="0000FF"/>
        </w:rPr>
        <w:t>the Chapter 3 Reference sub-folder</w:t>
      </w:r>
      <w:r w:rsidRPr="00F65CEB">
        <w:rPr>
          <w:i/>
          <w:color w:val="0000FF"/>
        </w:rPr>
        <w:t>, and referenced in the Manual.</w:t>
      </w:r>
    </w:p>
    <w:p w14:paraId="7CA91553" w14:textId="77777777" w:rsidR="000242EC" w:rsidRPr="000242EC" w:rsidRDefault="000242EC" w:rsidP="000242EC">
      <w:pPr>
        <w:pStyle w:val="ListParagraph"/>
        <w:rPr>
          <w:color w:val="FF0000"/>
        </w:rPr>
      </w:pPr>
    </w:p>
    <w:p w14:paraId="450DAB0B" w14:textId="6C3E0587" w:rsidR="00BD1DA3" w:rsidRPr="007448B9" w:rsidRDefault="007946F0" w:rsidP="002D2CF2">
      <w:pPr>
        <w:pStyle w:val="ListParagraph"/>
        <w:numPr>
          <w:ilvl w:val="0"/>
          <w:numId w:val="3"/>
        </w:numPr>
      </w:pPr>
      <w:r>
        <w:t>How can staff determine the</w:t>
      </w:r>
      <w:r w:rsidR="002D2CF2">
        <w:t xml:space="preserve"> current</w:t>
      </w:r>
      <w:r>
        <w:t xml:space="preserve"> </w:t>
      </w:r>
      <w:r w:rsidR="000517F5">
        <w:t>in-lieu fee</w:t>
      </w:r>
      <w:r w:rsidR="00BD1DA3" w:rsidRPr="007448B9">
        <w:t xml:space="preserve"> </w:t>
      </w:r>
      <w:r w:rsidR="000242EC">
        <w:t>credit prices</w:t>
      </w:r>
      <w:r w:rsidR="00BD1DA3" w:rsidRPr="007448B9">
        <w:t xml:space="preserve">?  </w:t>
      </w:r>
    </w:p>
    <w:p w14:paraId="3867A98D" w14:textId="77777777" w:rsidR="00BD1DA3" w:rsidRPr="007448B9" w:rsidRDefault="00BD1DA3" w:rsidP="00BD1DA3">
      <w:pPr>
        <w:pStyle w:val="ListParagraph"/>
      </w:pPr>
    </w:p>
    <w:p w14:paraId="37EEBB09" w14:textId="026176DB" w:rsidR="00BD1DA3" w:rsidRPr="00F65CEB" w:rsidRDefault="000517F5" w:rsidP="00070312">
      <w:pPr>
        <w:pStyle w:val="ListParagraph"/>
        <w:rPr>
          <w:i/>
          <w:color w:val="FF0000"/>
        </w:rPr>
      </w:pPr>
      <w:r w:rsidRPr="00F65CEB">
        <w:rPr>
          <w:i/>
          <w:color w:val="0000FF"/>
        </w:rPr>
        <w:t>A current in-lieu fee program Advance Credit Fee Schedule</w:t>
      </w:r>
      <w:r w:rsidR="000242EC" w:rsidRPr="00F65CEB">
        <w:rPr>
          <w:i/>
          <w:color w:val="0000FF"/>
        </w:rPr>
        <w:t xml:space="preserve"> is located</w:t>
      </w:r>
      <w:r w:rsidR="00122701" w:rsidRPr="00F65CEB">
        <w:rPr>
          <w:i/>
          <w:color w:val="0000FF"/>
        </w:rPr>
        <w:t xml:space="preserve"> </w:t>
      </w:r>
      <w:r w:rsidRPr="00F65CEB">
        <w:rPr>
          <w:i/>
          <w:color w:val="0000FF"/>
        </w:rPr>
        <w:t>in the Chapter 3 Reference sub-folder, and referenced in the Manual</w:t>
      </w:r>
      <w:r w:rsidR="00BD1DA3" w:rsidRPr="00F65CEB">
        <w:rPr>
          <w:i/>
          <w:color w:val="0000FF"/>
        </w:rPr>
        <w:t>.</w:t>
      </w:r>
    </w:p>
    <w:p w14:paraId="1E717309" w14:textId="77777777" w:rsidR="00070312" w:rsidRPr="00070312" w:rsidRDefault="00070312" w:rsidP="00070312">
      <w:pPr>
        <w:pStyle w:val="ListParagraph"/>
        <w:rPr>
          <w:color w:val="FF0000"/>
        </w:rPr>
      </w:pPr>
    </w:p>
    <w:p w14:paraId="65A20A3B" w14:textId="68B2A3AE" w:rsidR="00A827FB" w:rsidRPr="00BD1DA3" w:rsidRDefault="007946F0" w:rsidP="002D2CF2">
      <w:pPr>
        <w:pStyle w:val="ListParagraph"/>
        <w:numPr>
          <w:ilvl w:val="0"/>
          <w:numId w:val="3"/>
        </w:numPr>
        <w:rPr>
          <w:color w:val="FF0000"/>
        </w:rPr>
      </w:pPr>
      <w:r>
        <w:t>How does approval of Secondary GSAs affect</w:t>
      </w:r>
      <w:r w:rsidR="001D67D2" w:rsidRPr="007448B9">
        <w:t xml:space="preserve"> the </w:t>
      </w:r>
      <w:r w:rsidR="00A827FB" w:rsidRPr="007448B9">
        <w:t>VDOT and locality permits exception</w:t>
      </w:r>
      <w:r w:rsidR="001D67D2" w:rsidRPr="007448B9">
        <w:t xml:space="preserve"> in the Code</w:t>
      </w:r>
      <w:r>
        <w:t xml:space="preserve"> that authorizes out of service area </w:t>
      </w:r>
      <w:r w:rsidR="002D2CF2">
        <w:t>use of credits</w:t>
      </w:r>
      <w:r w:rsidR="001D67D2" w:rsidRPr="007448B9">
        <w:t>?</w:t>
      </w:r>
    </w:p>
    <w:p w14:paraId="0A1E620F" w14:textId="62568C6E" w:rsidR="00A827FB" w:rsidRPr="00F65CEB" w:rsidRDefault="00AD00F5" w:rsidP="00CA3291">
      <w:pPr>
        <w:ind w:left="720"/>
        <w:rPr>
          <w:i/>
          <w:color w:val="FF0000"/>
        </w:rPr>
      </w:pPr>
      <w:r w:rsidRPr="00F65CEB">
        <w:rPr>
          <w:i/>
          <w:color w:val="0000FF"/>
        </w:rPr>
        <w:t xml:space="preserve">If there is a bank </w:t>
      </w:r>
      <w:r w:rsidR="002D2CF2" w:rsidRPr="00F65CEB">
        <w:rPr>
          <w:i/>
          <w:color w:val="0000FF"/>
        </w:rPr>
        <w:t xml:space="preserve">or in-lieu fee </w:t>
      </w:r>
      <w:r w:rsidR="00CA3291" w:rsidRPr="00F65CEB">
        <w:rPr>
          <w:i/>
          <w:color w:val="0000FF"/>
        </w:rPr>
        <w:t xml:space="preserve">site </w:t>
      </w:r>
      <w:r w:rsidRPr="00F65CEB">
        <w:rPr>
          <w:i/>
          <w:color w:val="0000FF"/>
        </w:rPr>
        <w:t xml:space="preserve">with a Secondary GSA to cover </w:t>
      </w:r>
      <w:r w:rsidR="002D2CF2" w:rsidRPr="00F65CEB">
        <w:rPr>
          <w:i/>
          <w:color w:val="0000FF"/>
        </w:rPr>
        <w:t>a project</w:t>
      </w:r>
      <w:r w:rsidRPr="00F65CEB">
        <w:rPr>
          <w:i/>
          <w:color w:val="0000FF"/>
        </w:rPr>
        <w:t>, then the process</w:t>
      </w:r>
      <w:r w:rsidR="002D2CF2" w:rsidRPr="00F65CEB">
        <w:rPr>
          <w:i/>
          <w:color w:val="0000FF"/>
        </w:rPr>
        <w:t xml:space="preserve"> for the use of a </w:t>
      </w:r>
      <w:r w:rsidRPr="00F65CEB">
        <w:rPr>
          <w:i/>
          <w:color w:val="0000FF"/>
        </w:rPr>
        <w:t>Secondary GS</w:t>
      </w:r>
      <w:r w:rsidR="00A31ABC" w:rsidRPr="00F65CEB">
        <w:rPr>
          <w:i/>
          <w:color w:val="0000FF"/>
        </w:rPr>
        <w:t>A</w:t>
      </w:r>
      <w:r w:rsidR="002D2CF2" w:rsidRPr="00F65CEB">
        <w:rPr>
          <w:i/>
          <w:color w:val="0000FF"/>
        </w:rPr>
        <w:t xml:space="preserve"> applies. </w:t>
      </w:r>
      <w:r w:rsidR="00CA3291" w:rsidRPr="00F65CEB">
        <w:rPr>
          <w:i/>
          <w:color w:val="0000FF"/>
        </w:rPr>
        <w:t>Effective July 1, 2021, no further “out of service area” requests for credit sale will be processed by the IRT.  A VDOT or locality permit that meets the exceptions listed in Code of Virginia § 62.1-44.15:23 should be discussed with DEQ Central Office.</w:t>
      </w:r>
    </w:p>
    <w:p w14:paraId="0139C1C7" w14:textId="47B8F154" w:rsidR="007F22F6" w:rsidRPr="007448B9" w:rsidRDefault="007F22F6" w:rsidP="002D2CF2">
      <w:pPr>
        <w:pStyle w:val="ListParagraph"/>
        <w:numPr>
          <w:ilvl w:val="0"/>
          <w:numId w:val="3"/>
        </w:numPr>
      </w:pPr>
      <w:r w:rsidRPr="007448B9">
        <w:t>Could project</w:t>
      </w:r>
      <w:r w:rsidR="0016778A">
        <w:t>s</w:t>
      </w:r>
      <w:r w:rsidRPr="007448B9">
        <w:t xml:space="preserve"> use Secondary GSA for wetlands, and not for streams</w:t>
      </w:r>
      <w:r w:rsidR="002D2CF2">
        <w:t>,</w:t>
      </w:r>
      <w:r w:rsidR="007946F0">
        <w:t xml:space="preserve"> or vice versa</w:t>
      </w:r>
      <w:r w:rsidRPr="007448B9">
        <w:t>?</w:t>
      </w:r>
    </w:p>
    <w:p w14:paraId="0131741C" w14:textId="0B4E1636" w:rsidR="007F22F6" w:rsidRPr="00F65CEB" w:rsidRDefault="00C30F49" w:rsidP="00C30F49">
      <w:pPr>
        <w:ind w:left="720"/>
        <w:rPr>
          <w:i/>
          <w:color w:val="FF0000"/>
        </w:rPr>
      </w:pPr>
      <w:r w:rsidRPr="00F65CEB">
        <w:rPr>
          <w:i/>
          <w:color w:val="0000FF"/>
        </w:rPr>
        <w:t>Yes</w:t>
      </w:r>
      <w:r w:rsidR="002D2CF2" w:rsidRPr="00F65CEB">
        <w:rPr>
          <w:i/>
          <w:color w:val="0000FF"/>
        </w:rPr>
        <w:t>.  If one type of Primary GSA credit is</w:t>
      </w:r>
      <w:r w:rsidR="007946F0" w:rsidRPr="00F65CEB">
        <w:rPr>
          <w:i/>
          <w:color w:val="0000FF"/>
        </w:rPr>
        <w:t xml:space="preserve"> available and </w:t>
      </w:r>
      <w:r w:rsidR="002D2CF2" w:rsidRPr="00F65CEB">
        <w:rPr>
          <w:i/>
          <w:color w:val="0000FF"/>
        </w:rPr>
        <w:t>the other is not, and</w:t>
      </w:r>
      <w:r w:rsidRPr="00F65CEB">
        <w:rPr>
          <w:i/>
          <w:color w:val="0000FF"/>
        </w:rPr>
        <w:t xml:space="preserve"> </w:t>
      </w:r>
      <w:r w:rsidR="0040088D" w:rsidRPr="00F65CEB">
        <w:rPr>
          <w:i/>
          <w:color w:val="0000FF"/>
        </w:rPr>
        <w:t xml:space="preserve">if </w:t>
      </w:r>
      <w:r w:rsidR="007946F0" w:rsidRPr="00F65CEB">
        <w:rPr>
          <w:i/>
          <w:color w:val="0000FF"/>
        </w:rPr>
        <w:t>the</w:t>
      </w:r>
      <w:r w:rsidR="0040088D" w:rsidRPr="00F65CEB">
        <w:rPr>
          <w:i/>
          <w:color w:val="0000FF"/>
        </w:rPr>
        <w:t xml:space="preserve"> </w:t>
      </w:r>
      <w:r w:rsidR="007946F0" w:rsidRPr="00F65CEB">
        <w:rPr>
          <w:i/>
          <w:color w:val="0000FF"/>
        </w:rPr>
        <w:t xml:space="preserve">project </w:t>
      </w:r>
      <w:r w:rsidR="0040088D" w:rsidRPr="00F65CEB">
        <w:rPr>
          <w:i/>
          <w:color w:val="0000FF"/>
        </w:rPr>
        <w:t>meets the conditions for the use of a Secondary GSA</w:t>
      </w:r>
      <w:r w:rsidR="007946F0" w:rsidRPr="00F65CEB">
        <w:rPr>
          <w:i/>
          <w:color w:val="0000FF"/>
        </w:rPr>
        <w:t xml:space="preserve">, </w:t>
      </w:r>
      <w:r w:rsidR="002D2CF2" w:rsidRPr="00F65CEB">
        <w:rPr>
          <w:i/>
          <w:color w:val="0000FF"/>
        </w:rPr>
        <w:t>then Primary GSA credi</w:t>
      </w:r>
      <w:r w:rsidR="005A3200" w:rsidRPr="00F65CEB">
        <w:rPr>
          <w:i/>
          <w:color w:val="0000FF"/>
        </w:rPr>
        <w:t>ts may be used for one resource (as available) and Secondary GSA credits may be used for the other resource.</w:t>
      </w:r>
    </w:p>
    <w:p w14:paraId="0DC9B257" w14:textId="3EB4BE0F" w:rsidR="007F22F6" w:rsidRPr="007448B9" w:rsidRDefault="007F22F6" w:rsidP="005A3200">
      <w:pPr>
        <w:pStyle w:val="ListParagraph"/>
        <w:numPr>
          <w:ilvl w:val="0"/>
          <w:numId w:val="3"/>
        </w:numPr>
      </w:pPr>
      <w:r w:rsidRPr="007448B9">
        <w:t xml:space="preserve">Could </w:t>
      </w:r>
      <w:r w:rsidR="00671B5B">
        <w:t xml:space="preserve">an applicant </w:t>
      </w:r>
      <w:r w:rsidRPr="007448B9">
        <w:t>purchase a portion of the credits from a Primary GSA, and the remainder from a Secondary GSA?</w:t>
      </w:r>
    </w:p>
    <w:p w14:paraId="77CB29C8" w14:textId="5F2F3EB0" w:rsidR="007F22F6" w:rsidRPr="00F65CEB" w:rsidRDefault="00C30F49" w:rsidP="00C30F49">
      <w:pPr>
        <w:ind w:left="720"/>
        <w:rPr>
          <w:i/>
          <w:color w:val="FF0000"/>
        </w:rPr>
      </w:pPr>
      <w:r w:rsidRPr="00F65CEB">
        <w:rPr>
          <w:i/>
          <w:color w:val="0000FF"/>
        </w:rPr>
        <w:t xml:space="preserve">Yes, </w:t>
      </w:r>
      <w:r w:rsidR="0040088D" w:rsidRPr="00F65CEB">
        <w:rPr>
          <w:i/>
          <w:color w:val="0000FF"/>
        </w:rPr>
        <w:t>if it meets the conditions for the use of a Secondary GSA</w:t>
      </w:r>
      <w:r w:rsidRPr="00F65CEB">
        <w:rPr>
          <w:i/>
          <w:color w:val="0000FF"/>
        </w:rPr>
        <w:t>.</w:t>
      </w:r>
    </w:p>
    <w:p w14:paraId="6F9D28AF" w14:textId="654C404E" w:rsidR="00BD1DA3" w:rsidRPr="007448B9" w:rsidRDefault="00BD1DA3" w:rsidP="005A3200">
      <w:pPr>
        <w:pStyle w:val="ListParagraph"/>
        <w:numPr>
          <w:ilvl w:val="0"/>
          <w:numId w:val="3"/>
        </w:numPr>
      </w:pPr>
      <w:r w:rsidRPr="007448B9">
        <w:t>Could</w:t>
      </w:r>
      <w:r w:rsidR="00671B5B">
        <w:t xml:space="preserve"> an applicant</w:t>
      </w:r>
      <w:r w:rsidRPr="007448B9">
        <w:t xml:space="preserve"> purchase </w:t>
      </w:r>
      <w:r>
        <w:t>up to one acre of i</w:t>
      </w:r>
      <w:r w:rsidR="00122701">
        <w:t>mpact credits</w:t>
      </w:r>
      <w:r w:rsidRPr="007448B9">
        <w:t xml:space="preserve"> from a </w:t>
      </w:r>
      <w:r>
        <w:t>Secondary</w:t>
      </w:r>
      <w:r w:rsidRPr="007448B9">
        <w:t xml:space="preserve"> GSA, and the remainder from a </w:t>
      </w:r>
      <w:r>
        <w:t>Primary</w:t>
      </w:r>
      <w:r w:rsidRPr="007448B9">
        <w:t xml:space="preserve"> GSA?</w:t>
      </w:r>
    </w:p>
    <w:p w14:paraId="708C91BD" w14:textId="77777777" w:rsidR="00465A3E" w:rsidRDefault="00465A3E" w:rsidP="00465A3E">
      <w:pPr>
        <w:pStyle w:val="ListParagraph"/>
        <w:rPr>
          <w:rFonts w:ascii="Calibri" w:hAnsi="Calibri" w:cs="Calibri"/>
          <w:color w:val="FF0000"/>
          <w:shd w:val="clear" w:color="auto" w:fill="FFFFFF"/>
        </w:rPr>
      </w:pPr>
    </w:p>
    <w:p w14:paraId="6133F3C1" w14:textId="245B3DD4" w:rsidR="00BD1DA3" w:rsidRPr="00F65CEB" w:rsidRDefault="005A3200" w:rsidP="00465A3E">
      <w:pPr>
        <w:pStyle w:val="ListParagraph"/>
        <w:rPr>
          <w:rFonts w:ascii="Calibri" w:hAnsi="Calibri" w:cs="Calibri"/>
          <w:i/>
          <w:color w:val="FF0000"/>
          <w:shd w:val="clear" w:color="auto" w:fill="FFFFFF"/>
        </w:rPr>
      </w:pPr>
      <w:r w:rsidRPr="00F65CEB">
        <w:rPr>
          <w:rFonts w:ascii="Calibri" w:hAnsi="Calibri" w:cs="Calibri"/>
          <w:i/>
          <w:color w:val="0000FF"/>
          <w:shd w:val="clear" w:color="auto" w:fill="FFFFFF"/>
        </w:rPr>
        <w:t xml:space="preserve">No.  </w:t>
      </w:r>
      <w:r w:rsidR="008F1039" w:rsidRPr="00F65CEB">
        <w:rPr>
          <w:rFonts w:ascii="Calibri" w:hAnsi="Calibri" w:cs="Calibri"/>
          <w:i/>
          <w:color w:val="0000FF"/>
          <w:shd w:val="clear" w:color="auto" w:fill="FFFFFF"/>
        </w:rPr>
        <w:t>All credits with a Primary GSA to cover the impacts must be exhausted prior to considering the use of a Secondary GSA</w:t>
      </w:r>
      <w:r w:rsidR="00CA3291" w:rsidRPr="00F65CEB">
        <w:rPr>
          <w:rFonts w:ascii="Calibri" w:hAnsi="Calibri" w:cs="Calibri"/>
          <w:i/>
          <w:color w:val="0000FF"/>
          <w:shd w:val="clear" w:color="auto" w:fill="FFFFFF"/>
        </w:rPr>
        <w:t>.  In addition, i</w:t>
      </w:r>
      <w:r w:rsidRPr="00F65CEB">
        <w:rPr>
          <w:rFonts w:ascii="Calibri" w:hAnsi="Calibri" w:cs="Calibri"/>
          <w:i/>
          <w:color w:val="0000FF"/>
          <w:shd w:val="clear" w:color="auto" w:fill="FFFFFF"/>
        </w:rPr>
        <w:t>f a p</w:t>
      </w:r>
      <w:r w:rsidR="00465A3E" w:rsidRPr="00F65CEB">
        <w:rPr>
          <w:rFonts w:ascii="Calibri" w:hAnsi="Calibri" w:cs="Calibri"/>
          <w:i/>
          <w:color w:val="0000FF"/>
          <w:shd w:val="clear" w:color="auto" w:fill="FFFFFF"/>
        </w:rPr>
        <w:t xml:space="preserve">roject </w:t>
      </w:r>
      <w:r w:rsidR="00CA3291" w:rsidRPr="00F65CEB">
        <w:rPr>
          <w:rFonts w:ascii="Calibri" w:hAnsi="Calibri" w:cs="Calibri"/>
          <w:i/>
          <w:color w:val="0000FF"/>
          <w:shd w:val="clear" w:color="auto" w:fill="FFFFFF"/>
        </w:rPr>
        <w:t xml:space="preserve">requires a Corps permit and </w:t>
      </w:r>
      <w:r w:rsidRPr="00F65CEB">
        <w:rPr>
          <w:rFonts w:ascii="Calibri" w:hAnsi="Calibri" w:cs="Calibri"/>
          <w:i/>
          <w:color w:val="0000FF"/>
          <w:shd w:val="clear" w:color="auto" w:fill="FFFFFF"/>
        </w:rPr>
        <w:t>has greater</w:t>
      </w:r>
      <w:r w:rsidR="00671B5B" w:rsidRPr="00F65CEB">
        <w:rPr>
          <w:rFonts w:ascii="Calibri" w:hAnsi="Calibri" w:cs="Calibri"/>
          <w:i/>
          <w:color w:val="0000FF"/>
          <w:shd w:val="clear" w:color="auto" w:fill="FFFFFF"/>
        </w:rPr>
        <w:t xml:space="preserve"> than </w:t>
      </w:r>
      <w:r w:rsidRPr="00F65CEB">
        <w:rPr>
          <w:rFonts w:ascii="Calibri" w:hAnsi="Calibri" w:cs="Calibri"/>
          <w:i/>
          <w:color w:val="0000FF"/>
          <w:shd w:val="clear" w:color="auto" w:fill="FFFFFF"/>
        </w:rPr>
        <w:t>one</w:t>
      </w:r>
      <w:r w:rsidR="00465A3E" w:rsidRPr="00F65CEB">
        <w:rPr>
          <w:rFonts w:ascii="Calibri" w:hAnsi="Calibri" w:cs="Calibri"/>
          <w:i/>
          <w:color w:val="0000FF"/>
          <w:shd w:val="clear" w:color="auto" w:fill="FFFFFF"/>
        </w:rPr>
        <w:t xml:space="preserve"> acre of impact, then a Secondary GSA does not apply.</w:t>
      </w:r>
    </w:p>
    <w:p w14:paraId="2B635742" w14:textId="77777777" w:rsidR="00671B5B" w:rsidRDefault="00671B5B" w:rsidP="005A3200">
      <w:pPr>
        <w:pStyle w:val="ListParagraph"/>
      </w:pPr>
    </w:p>
    <w:p w14:paraId="13BF05B0" w14:textId="36376D68" w:rsidR="00671B5B" w:rsidRPr="007448B9" w:rsidRDefault="00671B5B" w:rsidP="00671B5B">
      <w:pPr>
        <w:pStyle w:val="ListParagraph"/>
        <w:numPr>
          <w:ilvl w:val="0"/>
          <w:numId w:val="3"/>
        </w:numPr>
      </w:pPr>
      <w:r>
        <w:t xml:space="preserve">For projects that result in less than </w:t>
      </w:r>
      <w:r w:rsidR="005A3200">
        <w:t>one</w:t>
      </w:r>
      <w:r>
        <w:t xml:space="preserve"> acre of impacts, could an applicant purchase part of the mitigation credits</w:t>
      </w:r>
      <w:r w:rsidRPr="007448B9">
        <w:t xml:space="preserve"> from a </w:t>
      </w:r>
      <w:r>
        <w:t>Secondary</w:t>
      </w:r>
      <w:r w:rsidRPr="007448B9">
        <w:t xml:space="preserve"> GSA, and the remainder from a </w:t>
      </w:r>
      <w:r>
        <w:t>Primary</w:t>
      </w:r>
      <w:r w:rsidRPr="007448B9">
        <w:t xml:space="preserve"> GSA?</w:t>
      </w:r>
    </w:p>
    <w:p w14:paraId="2117D7E1" w14:textId="71A85453" w:rsidR="00BD1DA3" w:rsidRPr="00F65CEB" w:rsidRDefault="00671B5B" w:rsidP="00070312">
      <w:pPr>
        <w:ind w:left="720"/>
        <w:rPr>
          <w:rFonts w:ascii="Calibri" w:hAnsi="Calibri" w:cs="Calibri"/>
          <w:i/>
          <w:color w:val="FF0000"/>
          <w:shd w:val="clear" w:color="auto" w:fill="FFFFFF"/>
        </w:rPr>
      </w:pPr>
      <w:r w:rsidRPr="00F65CEB">
        <w:rPr>
          <w:rFonts w:ascii="Calibri" w:hAnsi="Calibri" w:cs="Calibri"/>
          <w:i/>
          <w:color w:val="0000FF"/>
          <w:shd w:val="clear" w:color="auto" w:fill="FFFFFF"/>
        </w:rPr>
        <w:t>A</w:t>
      </w:r>
      <w:r w:rsidR="00070312" w:rsidRPr="00F65CEB">
        <w:rPr>
          <w:rFonts w:ascii="Calibri" w:hAnsi="Calibri" w:cs="Calibri"/>
          <w:i/>
          <w:color w:val="0000FF"/>
          <w:shd w:val="clear" w:color="auto" w:fill="FFFFFF"/>
        </w:rPr>
        <w:t xml:space="preserve">ll credits with a Primary GSA to cover the impacts </w:t>
      </w:r>
      <w:r w:rsidRPr="00F65CEB">
        <w:rPr>
          <w:rFonts w:ascii="Calibri" w:hAnsi="Calibri" w:cs="Calibri"/>
          <w:i/>
          <w:color w:val="0000FF"/>
          <w:shd w:val="clear" w:color="auto" w:fill="FFFFFF"/>
        </w:rPr>
        <w:t>must</w:t>
      </w:r>
      <w:r w:rsidR="00070312" w:rsidRPr="00F65CEB">
        <w:rPr>
          <w:rFonts w:ascii="Calibri" w:hAnsi="Calibri" w:cs="Calibri"/>
          <w:i/>
          <w:color w:val="0000FF"/>
          <w:shd w:val="clear" w:color="auto" w:fill="FFFFFF"/>
        </w:rPr>
        <w:t xml:space="preserve"> be exhausted prior to considering the use of a Secondary GSA, unless the credits in the Primary GSA exceed the cost requirement (200% of the applicable ILF price).</w:t>
      </w:r>
    </w:p>
    <w:p w14:paraId="5E726A18" w14:textId="76CFFFED" w:rsidR="007F22F6" w:rsidRPr="007448B9" w:rsidRDefault="00671B5B" w:rsidP="005A3200">
      <w:pPr>
        <w:pStyle w:val="ListParagraph"/>
        <w:numPr>
          <w:ilvl w:val="0"/>
          <w:numId w:val="3"/>
        </w:numPr>
      </w:pPr>
      <w:r>
        <w:t>Can Secondary GSA credits be used</w:t>
      </w:r>
      <w:r w:rsidRPr="007448B9">
        <w:t xml:space="preserve"> if</w:t>
      </w:r>
      <w:r>
        <w:t xml:space="preserve"> the project</w:t>
      </w:r>
      <w:r w:rsidR="007F22F6" w:rsidRPr="007448B9">
        <w:t xml:space="preserve"> </w:t>
      </w:r>
      <w:r>
        <w:t xml:space="preserve">qualifies for a </w:t>
      </w:r>
      <w:r w:rsidR="007F22F6" w:rsidRPr="007448B9">
        <w:t>DEQ IP, but a</w:t>
      </w:r>
      <w:r>
        <w:t xml:space="preserve"> Corps</w:t>
      </w:r>
      <w:r w:rsidR="007F22F6" w:rsidRPr="007448B9">
        <w:t xml:space="preserve"> SPGP or NWP?  Ex</w:t>
      </w:r>
      <w:r w:rsidR="001D67D2" w:rsidRPr="007448B9">
        <w:t>ample:</w:t>
      </w:r>
      <w:r w:rsidR="007F22F6" w:rsidRPr="007448B9">
        <w:t xml:space="preserve"> Utility line.</w:t>
      </w:r>
    </w:p>
    <w:p w14:paraId="7F315542" w14:textId="1569518D" w:rsidR="00BD1DA3" w:rsidRPr="00F65CEB" w:rsidRDefault="00122701" w:rsidP="00BD1DA3">
      <w:pPr>
        <w:ind w:left="720"/>
        <w:rPr>
          <w:i/>
          <w:color w:val="FF0000"/>
        </w:rPr>
      </w:pPr>
      <w:r w:rsidRPr="00F65CEB">
        <w:rPr>
          <w:i/>
          <w:color w:val="0000FF"/>
        </w:rPr>
        <w:t xml:space="preserve">Yes, </w:t>
      </w:r>
      <w:r w:rsidR="0040088D" w:rsidRPr="00F65CEB">
        <w:rPr>
          <w:i/>
          <w:color w:val="0000FF"/>
        </w:rPr>
        <w:t>if it meets the conditions for the use of a Secondary GSA.</w:t>
      </w:r>
      <w:r w:rsidR="00070312" w:rsidRPr="00F65CEB">
        <w:rPr>
          <w:i/>
          <w:color w:val="0000FF"/>
        </w:rPr>
        <w:t xml:space="preserve">  Permit writer discretion </w:t>
      </w:r>
      <w:r w:rsidR="008F1039" w:rsidRPr="00F65CEB">
        <w:rPr>
          <w:i/>
          <w:color w:val="0000FF"/>
        </w:rPr>
        <w:t xml:space="preserve">and discussion with a </w:t>
      </w:r>
      <w:r w:rsidR="007946F0" w:rsidRPr="00F65CEB">
        <w:rPr>
          <w:i/>
          <w:color w:val="0000FF"/>
        </w:rPr>
        <w:t xml:space="preserve">VWP Manager </w:t>
      </w:r>
      <w:r w:rsidR="008F1039" w:rsidRPr="00F65CEB">
        <w:rPr>
          <w:i/>
          <w:color w:val="0000FF"/>
        </w:rPr>
        <w:t xml:space="preserve">and Central Office </w:t>
      </w:r>
      <w:r w:rsidR="007946F0" w:rsidRPr="00F65CEB">
        <w:rPr>
          <w:i/>
          <w:color w:val="0000FF"/>
        </w:rPr>
        <w:t>are</w:t>
      </w:r>
      <w:r w:rsidR="00070312" w:rsidRPr="00F65CEB">
        <w:rPr>
          <w:i/>
          <w:color w:val="0000FF"/>
        </w:rPr>
        <w:t xml:space="preserve"> advised</w:t>
      </w:r>
      <w:r w:rsidR="007946F0" w:rsidRPr="00F65CEB">
        <w:rPr>
          <w:i/>
          <w:color w:val="0000FF"/>
        </w:rPr>
        <w:t>.</w:t>
      </w:r>
    </w:p>
    <w:p w14:paraId="4B8EEFE8" w14:textId="044DD0C9" w:rsidR="007F22F6" w:rsidRPr="007448B9" w:rsidRDefault="00E014BC" w:rsidP="005A3200">
      <w:pPr>
        <w:pStyle w:val="ListParagraph"/>
        <w:numPr>
          <w:ilvl w:val="0"/>
          <w:numId w:val="3"/>
        </w:numPr>
      </w:pPr>
      <w:r w:rsidRPr="007448B9">
        <w:lastRenderedPageBreak/>
        <w:t>For a General Permit</w:t>
      </w:r>
      <w:r w:rsidR="00070312">
        <w:t xml:space="preserve"> with over an acre of impact – Could a</w:t>
      </w:r>
      <w:r w:rsidR="00837448" w:rsidRPr="007448B9">
        <w:t xml:space="preserve"> Second</w:t>
      </w:r>
      <w:r w:rsidR="00070312">
        <w:t>ary GSA be used for up to 1 acre of impact</w:t>
      </w:r>
      <w:r w:rsidR="005267C0">
        <w:t xml:space="preserve"> but the remainder of impacts be mitigated some other way</w:t>
      </w:r>
      <w:r w:rsidR="00837448" w:rsidRPr="007448B9">
        <w:t>?</w:t>
      </w:r>
    </w:p>
    <w:p w14:paraId="28CBEFA2" w14:textId="210A666D" w:rsidR="004F23A0" w:rsidRPr="00F65CEB" w:rsidRDefault="008F1039" w:rsidP="00674B39">
      <w:pPr>
        <w:ind w:left="720"/>
        <w:rPr>
          <w:rFonts w:ascii="Calibri" w:hAnsi="Calibri" w:cs="Calibri"/>
          <w:i/>
          <w:color w:val="FF0000"/>
          <w:shd w:val="clear" w:color="auto" w:fill="FFFFFF"/>
        </w:rPr>
      </w:pPr>
      <w:r w:rsidRPr="00F65CEB">
        <w:rPr>
          <w:rFonts w:ascii="Calibri" w:hAnsi="Calibri" w:cs="Calibri"/>
          <w:i/>
          <w:color w:val="0000FF"/>
          <w:shd w:val="clear" w:color="auto" w:fill="FFFFFF"/>
        </w:rPr>
        <w:t xml:space="preserve">All Primary GSA credits must be exhausted prior to consideration of a Secondary GSA.  If a Corps permit is required, then no.  If no Corps permit is required, permit staff should </w:t>
      </w:r>
      <w:r w:rsidRPr="00F65CEB">
        <w:rPr>
          <w:i/>
          <w:color w:val="0000FF"/>
        </w:rPr>
        <w:t>discuss with a VWP Manager and Central Office</w:t>
      </w:r>
      <w:r w:rsidR="0040088D" w:rsidRPr="00F65CEB">
        <w:rPr>
          <w:rFonts w:ascii="Calibri" w:hAnsi="Calibri" w:cs="Calibri"/>
          <w:i/>
          <w:color w:val="0000FF"/>
          <w:shd w:val="clear" w:color="auto" w:fill="FFFFFF"/>
        </w:rPr>
        <w:t>.</w:t>
      </w:r>
      <w:r w:rsidR="0040088D" w:rsidRPr="00F65CEB">
        <w:rPr>
          <w:rFonts w:ascii="Calibri" w:hAnsi="Calibri" w:cs="Calibri"/>
          <w:i/>
          <w:color w:val="FF0000"/>
          <w:shd w:val="clear" w:color="auto" w:fill="FFFFFF"/>
        </w:rPr>
        <w:t xml:space="preserve">  </w:t>
      </w:r>
    </w:p>
    <w:p w14:paraId="0AB9806F" w14:textId="0F2AF201" w:rsidR="00837448" w:rsidRPr="007448B9" w:rsidRDefault="005A3200" w:rsidP="005A3200">
      <w:pPr>
        <w:pStyle w:val="ListParagraph"/>
        <w:numPr>
          <w:ilvl w:val="0"/>
          <w:numId w:val="3"/>
        </w:numPr>
      </w:pPr>
      <w:r>
        <w:t>Are</w:t>
      </w:r>
      <w:r w:rsidR="00070312">
        <w:t xml:space="preserve"> Secondary GSA</w:t>
      </w:r>
      <w:r>
        <w:t xml:space="preserve"> credits able to be used</w:t>
      </w:r>
      <w:r w:rsidR="00070312">
        <w:t xml:space="preserve"> for </w:t>
      </w:r>
      <w:r w:rsidR="00837448" w:rsidRPr="007448B9">
        <w:t>DEQ I</w:t>
      </w:r>
      <w:r w:rsidR="00E014BC" w:rsidRPr="007448B9">
        <w:t xml:space="preserve">ndividual </w:t>
      </w:r>
      <w:r w:rsidR="00837448" w:rsidRPr="007448B9">
        <w:t>P</w:t>
      </w:r>
      <w:r w:rsidR="00E014BC" w:rsidRPr="007448B9">
        <w:t>ermit</w:t>
      </w:r>
      <w:r w:rsidR="00837448" w:rsidRPr="007448B9">
        <w:t>s?</w:t>
      </w:r>
    </w:p>
    <w:p w14:paraId="5CA74B91" w14:textId="484583D7" w:rsidR="004C5223" w:rsidRPr="00F65CEB" w:rsidRDefault="004F23A0" w:rsidP="00070312">
      <w:pPr>
        <w:ind w:left="720"/>
        <w:rPr>
          <w:i/>
        </w:rPr>
      </w:pPr>
      <w:r w:rsidRPr="00F65CEB">
        <w:rPr>
          <w:i/>
          <w:color w:val="0000FF"/>
        </w:rPr>
        <w:t xml:space="preserve">Yes, credits from a Secondary GSA may be considered for </w:t>
      </w:r>
      <w:r w:rsidR="007946F0" w:rsidRPr="00F65CEB">
        <w:rPr>
          <w:i/>
          <w:color w:val="0000FF"/>
        </w:rPr>
        <w:t>project</w:t>
      </w:r>
      <w:r w:rsidR="005A3200" w:rsidRPr="00F65CEB">
        <w:rPr>
          <w:i/>
          <w:color w:val="0000FF"/>
        </w:rPr>
        <w:t>s</w:t>
      </w:r>
      <w:r w:rsidR="007946F0" w:rsidRPr="00F65CEB">
        <w:rPr>
          <w:i/>
          <w:color w:val="0000FF"/>
        </w:rPr>
        <w:t xml:space="preserve"> qualifying for </w:t>
      </w:r>
      <w:r w:rsidRPr="00F65CEB">
        <w:rPr>
          <w:i/>
          <w:color w:val="0000FF"/>
        </w:rPr>
        <w:t>a DEQ IP, as long as a Corps IP</w:t>
      </w:r>
      <w:r w:rsidR="007946F0" w:rsidRPr="00F65CEB">
        <w:rPr>
          <w:i/>
          <w:color w:val="0000FF"/>
        </w:rPr>
        <w:t xml:space="preserve"> is not required</w:t>
      </w:r>
      <w:r w:rsidRPr="00F65CEB">
        <w:rPr>
          <w:i/>
          <w:color w:val="0000FF"/>
        </w:rPr>
        <w:t xml:space="preserve"> and </w:t>
      </w:r>
      <w:r w:rsidR="005A3200" w:rsidRPr="00F65CEB">
        <w:rPr>
          <w:i/>
          <w:color w:val="0000FF"/>
        </w:rPr>
        <w:t>the project has less than one</w:t>
      </w:r>
      <w:r w:rsidRPr="00F65CEB">
        <w:rPr>
          <w:i/>
          <w:color w:val="0000FF"/>
        </w:rPr>
        <w:t xml:space="preserve"> acre of impact.</w:t>
      </w:r>
      <w:r w:rsidR="006849C1" w:rsidRPr="00F65CEB">
        <w:rPr>
          <w:i/>
          <w:color w:val="0000FF"/>
        </w:rPr>
        <w:t xml:space="preserve">  Permit writer discretion</w:t>
      </w:r>
      <w:r w:rsidR="007946F0" w:rsidRPr="00F65CEB">
        <w:rPr>
          <w:i/>
          <w:color w:val="0000FF"/>
        </w:rPr>
        <w:t xml:space="preserve"> and discussion with the Regional VWP Manager are </w:t>
      </w:r>
      <w:r w:rsidR="005A3200" w:rsidRPr="00F65CEB">
        <w:rPr>
          <w:i/>
          <w:color w:val="0000FF"/>
        </w:rPr>
        <w:t xml:space="preserve">advised (For </w:t>
      </w:r>
      <w:r w:rsidR="006849C1" w:rsidRPr="00F65CEB">
        <w:rPr>
          <w:i/>
          <w:color w:val="0000FF"/>
        </w:rPr>
        <w:t>T&amp;E habitat</w:t>
      </w:r>
      <w:r w:rsidR="005A3200" w:rsidRPr="00F65CEB">
        <w:rPr>
          <w:i/>
          <w:color w:val="0000FF"/>
        </w:rPr>
        <w:t>, see next question</w:t>
      </w:r>
      <w:r w:rsidR="006849C1" w:rsidRPr="00F65CEB">
        <w:rPr>
          <w:i/>
          <w:color w:val="0000FF"/>
        </w:rPr>
        <w:t>).</w:t>
      </w:r>
    </w:p>
    <w:p w14:paraId="42DF7814" w14:textId="785E250F" w:rsidR="00895B8A" w:rsidRPr="00895B8A" w:rsidRDefault="00895B8A" w:rsidP="005A3200">
      <w:pPr>
        <w:pStyle w:val="ListParagraph"/>
        <w:numPr>
          <w:ilvl w:val="0"/>
          <w:numId w:val="3"/>
        </w:numPr>
      </w:pPr>
      <w:r w:rsidRPr="00895B8A">
        <w:t>I</w:t>
      </w:r>
      <w:r w:rsidR="00D34C16">
        <w:t xml:space="preserve">f a project is elevated to a </w:t>
      </w:r>
      <w:r w:rsidR="007946F0">
        <w:t xml:space="preserve">DEQ </w:t>
      </w:r>
      <w:r w:rsidRPr="00895B8A">
        <w:t xml:space="preserve">IP </w:t>
      </w:r>
      <w:r w:rsidR="00924A94">
        <w:t>for some other reason</w:t>
      </w:r>
      <w:r w:rsidRPr="00895B8A">
        <w:t xml:space="preserve"> </w:t>
      </w:r>
      <w:r w:rsidR="00924A94">
        <w:t>(</w:t>
      </w:r>
      <w:r w:rsidRPr="00895B8A">
        <w:t>i.e. activity in surface waters that will impact T&amp;E species), but the actual permitted impacts are less than GP thresholds, can a Secondary GSA be used as part of the mitigation plan?</w:t>
      </w:r>
    </w:p>
    <w:p w14:paraId="3BBF6F16" w14:textId="361FF9AD" w:rsidR="004F23A0" w:rsidRPr="00F65CEB" w:rsidRDefault="004F23A0" w:rsidP="00A11F49">
      <w:pPr>
        <w:ind w:left="720"/>
        <w:rPr>
          <w:i/>
          <w:color w:val="0000FF"/>
        </w:rPr>
      </w:pPr>
      <w:r w:rsidRPr="00F65CEB">
        <w:rPr>
          <w:i/>
          <w:color w:val="0000FF"/>
        </w:rPr>
        <w:t xml:space="preserve">Yes, credits from a Secondary GSA may be considered for a DEQ IP, as long as </w:t>
      </w:r>
      <w:r w:rsidR="007946F0" w:rsidRPr="00F65CEB">
        <w:rPr>
          <w:i/>
          <w:color w:val="0000FF"/>
        </w:rPr>
        <w:t>the project does</w:t>
      </w:r>
      <w:r w:rsidRPr="00F65CEB">
        <w:rPr>
          <w:i/>
          <w:color w:val="0000FF"/>
        </w:rPr>
        <w:t xml:space="preserve"> not</w:t>
      </w:r>
      <w:r w:rsidR="007946F0" w:rsidRPr="00F65CEB">
        <w:rPr>
          <w:i/>
          <w:color w:val="0000FF"/>
        </w:rPr>
        <w:t xml:space="preserve"> qualify for</w:t>
      </w:r>
      <w:r w:rsidR="005A3200" w:rsidRPr="00F65CEB">
        <w:rPr>
          <w:i/>
          <w:color w:val="0000FF"/>
        </w:rPr>
        <w:t xml:space="preserve"> a Corps IP and has less than one</w:t>
      </w:r>
      <w:r w:rsidRPr="00F65CEB">
        <w:rPr>
          <w:i/>
          <w:color w:val="0000FF"/>
        </w:rPr>
        <w:t xml:space="preserve"> acre of impact.  </w:t>
      </w:r>
    </w:p>
    <w:p w14:paraId="109F0369" w14:textId="5380F32A" w:rsidR="00895B8A" w:rsidRPr="00895B8A" w:rsidRDefault="00D34C16" w:rsidP="004F23A0">
      <w:pPr>
        <w:ind w:left="720"/>
        <w:rPr>
          <w:color w:val="FF0000"/>
        </w:rPr>
      </w:pPr>
      <w:r w:rsidRPr="00F65CEB">
        <w:rPr>
          <w:i/>
          <w:color w:val="0000FF"/>
        </w:rPr>
        <w:t>However, t</w:t>
      </w:r>
      <w:r w:rsidR="005A3200" w:rsidRPr="00F65CEB">
        <w:rPr>
          <w:i/>
          <w:color w:val="0000FF"/>
        </w:rPr>
        <w:t xml:space="preserve">he </w:t>
      </w:r>
      <w:r w:rsidR="007946F0" w:rsidRPr="00F65CEB">
        <w:rPr>
          <w:i/>
          <w:color w:val="0000FF"/>
        </w:rPr>
        <w:t>a</w:t>
      </w:r>
      <w:r w:rsidR="005A3200" w:rsidRPr="00F65CEB">
        <w:rPr>
          <w:i/>
          <w:color w:val="0000FF"/>
        </w:rPr>
        <w:t>pproval</w:t>
      </w:r>
      <w:r w:rsidR="007946F0" w:rsidRPr="00F65CEB">
        <w:rPr>
          <w:i/>
          <w:color w:val="0000FF"/>
        </w:rPr>
        <w:t xml:space="preserve"> to use Secondary GSA credits</w:t>
      </w:r>
      <w:r w:rsidR="004F23A0" w:rsidRPr="00F65CEB">
        <w:rPr>
          <w:i/>
          <w:color w:val="0000FF"/>
        </w:rPr>
        <w:t xml:space="preserve"> should take into consideration the T&amp;E habitat </w:t>
      </w:r>
      <w:r w:rsidRPr="00F65CEB">
        <w:rPr>
          <w:i/>
          <w:color w:val="0000FF"/>
        </w:rPr>
        <w:t xml:space="preserve">or species </w:t>
      </w:r>
      <w:r w:rsidR="004F23A0" w:rsidRPr="00F65CEB">
        <w:rPr>
          <w:i/>
          <w:color w:val="0000FF"/>
        </w:rPr>
        <w:t xml:space="preserve">proposed to be impacted, and whether a Secondary GSA (which may be outside of the physiographic province of the impacts) would compensate for </w:t>
      </w:r>
      <w:r w:rsidR="000242EC" w:rsidRPr="00F65CEB">
        <w:rPr>
          <w:i/>
          <w:color w:val="0000FF"/>
        </w:rPr>
        <w:t>the particular wetland type, T&amp;E habitat type, or T&amp;E species impacted</w:t>
      </w:r>
      <w:r w:rsidR="004F23A0" w:rsidRPr="00F65CEB">
        <w:rPr>
          <w:i/>
          <w:color w:val="0000FF"/>
        </w:rPr>
        <w:t>.</w:t>
      </w:r>
    </w:p>
    <w:p w14:paraId="2E34199E" w14:textId="2D7A94A4" w:rsidR="00895B8A" w:rsidRPr="004F23A0" w:rsidRDefault="00895B8A" w:rsidP="005A3200">
      <w:pPr>
        <w:pStyle w:val="ListParagraph"/>
        <w:numPr>
          <w:ilvl w:val="0"/>
          <w:numId w:val="3"/>
        </w:numPr>
      </w:pPr>
      <w:r w:rsidRPr="00895B8A">
        <w:t xml:space="preserve">If a project requires </w:t>
      </w:r>
      <w:r w:rsidR="00D34C16">
        <w:t>a</w:t>
      </w:r>
      <w:r w:rsidRPr="00895B8A">
        <w:t xml:space="preserve"> DEQ </w:t>
      </w:r>
      <w:r w:rsidR="00D34C16">
        <w:t xml:space="preserve">IP </w:t>
      </w:r>
      <w:r w:rsidRPr="00895B8A">
        <w:t xml:space="preserve">but qualifies for an SPGP from the Corps, can </w:t>
      </w:r>
      <w:r w:rsidR="008F1039">
        <w:t xml:space="preserve">a </w:t>
      </w:r>
      <w:r w:rsidRPr="00895B8A">
        <w:t xml:space="preserve">Secondary GSA be used? </w:t>
      </w:r>
      <w:r w:rsidR="000A6EB5">
        <w:t xml:space="preserve"> </w:t>
      </w:r>
      <w:r w:rsidRPr="00895B8A">
        <w:t>For example</w:t>
      </w:r>
      <w:r w:rsidR="00D34C16">
        <w:t>,</w:t>
      </w:r>
      <w:r w:rsidRPr="00895B8A">
        <w:t xml:space="preserve"> if permitted stream impacts are 1,600 lf and wetland impacts are 0.25 acre. </w:t>
      </w:r>
      <w:r w:rsidR="000A6EB5">
        <w:t xml:space="preserve"> </w:t>
      </w:r>
      <w:r w:rsidRPr="00895B8A">
        <w:t>And the stream impacts can be mitigated for from a bank in the Primary GSA, but wetland credits are proposed in a Secondary GSA, is that acceptable?</w:t>
      </w:r>
    </w:p>
    <w:p w14:paraId="460F955C" w14:textId="76FE7944" w:rsidR="00895B8A" w:rsidRPr="00F65CEB" w:rsidRDefault="004F23A0" w:rsidP="004F23A0">
      <w:pPr>
        <w:ind w:left="720"/>
        <w:rPr>
          <w:i/>
          <w:color w:val="FF0000"/>
        </w:rPr>
      </w:pPr>
      <w:r w:rsidRPr="00F65CEB">
        <w:rPr>
          <w:i/>
          <w:color w:val="0000FF"/>
        </w:rPr>
        <w:t>Yes, if it meets the conditions for the use of a Secondary GSA.</w:t>
      </w:r>
    </w:p>
    <w:p w14:paraId="2688ADB7" w14:textId="20C846D6" w:rsidR="00D34C16" w:rsidRDefault="00895B8A" w:rsidP="005A3200">
      <w:pPr>
        <w:pStyle w:val="ListParagraph"/>
        <w:numPr>
          <w:ilvl w:val="0"/>
          <w:numId w:val="3"/>
        </w:numPr>
      </w:pPr>
      <w:r w:rsidRPr="00895B8A">
        <w:t xml:space="preserve">Can Secondary GSA be used for a linear project that has multiple crossings that are considered single and complete </w:t>
      </w:r>
      <w:r w:rsidR="00010C3A">
        <w:t>and each crossing is less than one</w:t>
      </w:r>
      <w:r w:rsidRPr="00895B8A">
        <w:t xml:space="preserve"> acre, but the total im</w:t>
      </w:r>
      <w:r w:rsidR="00010C3A">
        <w:t>pacts for all crossings exceed one</w:t>
      </w:r>
      <w:r w:rsidRPr="00895B8A">
        <w:t xml:space="preserve"> acre? </w:t>
      </w:r>
    </w:p>
    <w:p w14:paraId="1190D9B7" w14:textId="77777777" w:rsidR="00D34C16" w:rsidRDefault="00D34C16" w:rsidP="00D34C16">
      <w:pPr>
        <w:pStyle w:val="ListParagraph"/>
        <w:rPr>
          <w:rFonts w:ascii="Calibri" w:hAnsi="Calibri" w:cs="Calibri"/>
          <w:color w:val="FF0000"/>
          <w:shd w:val="clear" w:color="auto" w:fill="FFFFFF"/>
        </w:rPr>
      </w:pPr>
    </w:p>
    <w:p w14:paraId="352A48C9" w14:textId="4E01EF55" w:rsidR="00D34C16" w:rsidRPr="00F65CEB" w:rsidRDefault="00010C3A" w:rsidP="00D34C16">
      <w:pPr>
        <w:pStyle w:val="ListParagraph"/>
        <w:rPr>
          <w:rFonts w:ascii="Calibri" w:hAnsi="Calibri" w:cs="Calibri"/>
          <w:i/>
          <w:color w:val="FF0000"/>
          <w:shd w:val="clear" w:color="auto" w:fill="FFFFFF"/>
        </w:rPr>
      </w:pPr>
      <w:r w:rsidRPr="00F65CEB">
        <w:rPr>
          <w:i/>
          <w:color w:val="0000FF"/>
        </w:rPr>
        <w:t>Permit writer discretion and discussion with the Regional VWP Manager and DEQ Central Office are advised.</w:t>
      </w:r>
    </w:p>
    <w:p w14:paraId="5E7F63D2" w14:textId="1271DCA4" w:rsidR="00A827FB" w:rsidRPr="007448B9" w:rsidRDefault="00A827FB" w:rsidP="00D34C16">
      <w:pPr>
        <w:ind w:left="720"/>
      </w:pPr>
      <w:bookmarkStart w:id="0" w:name="_GoBack"/>
      <w:bookmarkEnd w:id="0"/>
    </w:p>
    <w:sectPr w:rsidR="00A827FB" w:rsidRPr="007448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EC1E" w14:textId="77777777" w:rsidR="00015ADE" w:rsidRDefault="00015ADE" w:rsidP="00895B8A">
      <w:pPr>
        <w:spacing w:after="0" w:line="240" w:lineRule="auto"/>
      </w:pPr>
      <w:r>
        <w:separator/>
      </w:r>
    </w:p>
  </w:endnote>
  <w:endnote w:type="continuationSeparator" w:id="0">
    <w:p w14:paraId="1A801FBE" w14:textId="77777777" w:rsidR="00015ADE" w:rsidRDefault="00015ADE" w:rsidP="0089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5618" w14:textId="4F51476F" w:rsidR="004A5ED3" w:rsidRPr="004A5ED3" w:rsidRDefault="004A5ED3">
    <w:pPr>
      <w:pStyle w:val="Footer"/>
      <w:rPr>
        <w:sz w:val="20"/>
        <w:szCs w:val="20"/>
      </w:rPr>
    </w:pPr>
    <w:r w:rsidRPr="004A5ED3">
      <w:rPr>
        <w:sz w:val="20"/>
        <w:szCs w:val="20"/>
      </w:rPr>
      <w:t>August 2022</w:t>
    </w:r>
    <w:r w:rsidR="00843522">
      <w:rPr>
        <w:sz w:val="20"/>
        <w:szCs w:val="20"/>
      </w:rPr>
      <w:tab/>
    </w:r>
    <w:r w:rsidR="00843522">
      <w:rPr>
        <w:sz w:val="20"/>
        <w:szCs w:val="20"/>
      </w:rPr>
      <w:tab/>
    </w:r>
    <w:r w:rsidR="00843522" w:rsidRPr="00843522">
      <w:rPr>
        <w:sz w:val="20"/>
        <w:szCs w:val="20"/>
      </w:rPr>
      <w:fldChar w:fldCharType="begin"/>
    </w:r>
    <w:r w:rsidR="00843522" w:rsidRPr="00843522">
      <w:rPr>
        <w:sz w:val="20"/>
        <w:szCs w:val="20"/>
      </w:rPr>
      <w:instrText xml:space="preserve"> PAGE   \* MERGEFORMAT </w:instrText>
    </w:r>
    <w:r w:rsidR="00843522" w:rsidRPr="00843522">
      <w:rPr>
        <w:sz w:val="20"/>
        <w:szCs w:val="20"/>
      </w:rPr>
      <w:fldChar w:fldCharType="separate"/>
    </w:r>
    <w:r w:rsidR="00843522">
      <w:rPr>
        <w:noProof/>
        <w:sz w:val="20"/>
        <w:szCs w:val="20"/>
      </w:rPr>
      <w:t>3</w:t>
    </w:r>
    <w:r w:rsidR="00843522" w:rsidRPr="00843522">
      <w:rPr>
        <w:noProof/>
        <w:sz w:val="20"/>
        <w:szCs w:val="20"/>
      </w:rPr>
      <w:fldChar w:fldCharType="end"/>
    </w:r>
  </w:p>
  <w:p w14:paraId="3972408F" w14:textId="77777777" w:rsidR="00895B8A" w:rsidRDefault="0089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031D" w14:textId="77777777" w:rsidR="00015ADE" w:rsidRDefault="00015ADE" w:rsidP="00895B8A">
      <w:pPr>
        <w:spacing w:after="0" w:line="240" w:lineRule="auto"/>
      </w:pPr>
      <w:r>
        <w:separator/>
      </w:r>
    </w:p>
  </w:footnote>
  <w:footnote w:type="continuationSeparator" w:id="0">
    <w:p w14:paraId="5072CE4B" w14:textId="77777777" w:rsidR="00015ADE" w:rsidRDefault="00015ADE" w:rsidP="00895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12F"/>
    <w:multiLevelType w:val="hybridMultilevel"/>
    <w:tmpl w:val="E088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E261B"/>
    <w:multiLevelType w:val="hybridMultilevel"/>
    <w:tmpl w:val="17EC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83827"/>
    <w:multiLevelType w:val="hybridMultilevel"/>
    <w:tmpl w:val="D9D6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A02E2"/>
    <w:multiLevelType w:val="multilevel"/>
    <w:tmpl w:val="A40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834D6"/>
    <w:multiLevelType w:val="hybridMultilevel"/>
    <w:tmpl w:val="52922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09167E"/>
    <w:multiLevelType w:val="hybridMultilevel"/>
    <w:tmpl w:val="0AC0A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607E"/>
    <w:multiLevelType w:val="hybridMultilevel"/>
    <w:tmpl w:val="0F686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53D62"/>
    <w:multiLevelType w:val="hybridMultilevel"/>
    <w:tmpl w:val="3E8E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42FD"/>
    <w:multiLevelType w:val="multilevel"/>
    <w:tmpl w:val="5196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01BDB"/>
    <w:multiLevelType w:val="hybridMultilevel"/>
    <w:tmpl w:val="9424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B75F6"/>
    <w:multiLevelType w:val="hybridMultilevel"/>
    <w:tmpl w:val="4D32F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D3264"/>
    <w:multiLevelType w:val="hybridMultilevel"/>
    <w:tmpl w:val="4D88ECA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7035C"/>
    <w:multiLevelType w:val="hybridMultilevel"/>
    <w:tmpl w:val="E3BE826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DB406A"/>
    <w:multiLevelType w:val="hybridMultilevel"/>
    <w:tmpl w:val="EDCC2B88"/>
    <w:lvl w:ilvl="0" w:tplc="52E6C0F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033FF"/>
    <w:multiLevelType w:val="hybridMultilevel"/>
    <w:tmpl w:val="0F686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93E80"/>
    <w:multiLevelType w:val="hybridMultilevel"/>
    <w:tmpl w:val="063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001E3"/>
    <w:multiLevelType w:val="hybridMultilevel"/>
    <w:tmpl w:val="A530931C"/>
    <w:lvl w:ilvl="0" w:tplc="73D65F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E17F2"/>
    <w:multiLevelType w:val="hybridMultilevel"/>
    <w:tmpl w:val="C76E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3667A"/>
    <w:multiLevelType w:val="hybridMultilevel"/>
    <w:tmpl w:val="CB285A00"/>
    <w:lvl w:ilvl="0" w:tplc="52E6C0F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2"/>
  </w:num>
  <w:num w:numId="5">
    <w:abstractNumId w:val="15"/>
  </w:num>
  <w:num w:numId="6">
    <w:abstractNumId w:val="10"/>
  </w:num>
  <w:num w:numId="7">
    <w:abstractNumId w:val="9"/>
  </w:num>
  <w:num w:numId="8">
    <w:abstractNumId w:val="5"/>
  </w:num>
  <w:num w:numId="9">
    <w:abstractNumId w:val="1"/>
  </w:num>
  <w:num w:numId="10">
    <w:abstractNumId w:val="17"/>
  </w:num>
  <w:num w:numId="11">
    <w:abstractNumId w:val="14"/>
  </w:num>
  <w:num w:numId="12">
    <w:abstractNumId w:val="11"/>
  </w:num>
  <w:num w:numId="13">
    <w:abstractNumId w:val="6"/>
  </w:num>
  <w:num w:numId="14">
    <w:abstractNumId w:val="16"/>
  </w:num>
  <w:num w:numId="15">
    <w:abstractNumId w:val="3"/>
  </w:num>
  <w:num w:numId="16">
    <w:abstractNumId w:val="8"/>
  </w:num>
  <w:num w:numId="17">
    <w:abstractNumId w:val="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4"/>
    <w:rsid w:val="00001E14"/>
    <w:rsid w:val="00010C3A"/>
    <w:rsid w:val="00015ADE"/>
    <w:rsid w:val="000242EC"/>
    <w:rsid w:val="000517F5"/>
    <w:rsid w:val="00052374"/>
    <w:rsid w:val="00070312"/>
    <w:rsid w:val="00071364"/>
    <w:rsid w:val="00092F85"/>
    <w:rsid w:val="000A6EB5"/>
    <w:rsid w:val="000C21FD"/>
    <w:rsid w:val="000D65E1"/>
    <w:rsid w:val="000F7A76"/>
    <w:rsid w:val="00122701"/>
    <w:rsid w:val="00160BF4"/>
    <w:rsid w:val="0016778A"/>
    <w:rsid w:val="0018623E"/>
    <w:rsid w:val="001D67D2"/>
    <w:rsid w:val="001F0B67"/>
    <w:rsid w:val="00220187"/>
    <w:rsid w:val="00290FE1"/>
    <w:rsid w:val="002A41F2"/>
    <w:rsid w:val="002B131B"/>
    <w:rsid w:val="002C0059"/>
    <w:rsid w:val="002D2CF2"/>
    <w:rsid w:val="002E2088"/>
    <w:rsid w:val="003466F1"/>
    <w:rsid w:val="003632B8"/>
    <w:rsid w:val="00372DE5"/>
    <w:rsid w:val="0037472E"/>
    <w:rsid w:val="003909C5"/>
    <w:rsid w:val="003E6E9A"/>
    <w:rsid w:val="0040088D"/>
    <w:rsid w:val="00405C73"/>
    <w:rsid w:val="004146CF"/>
    <w:rsid w:val="0041606E"/>
    <w:rsid w:val="00425304"/>
    <w:rsid w:val="00465A3E"/>
    <w:rsid w:val="004A5ED3"/>
    <w:rsid w:val="004C5223"/>
    <w:rsid w:val="004E21AC"/>
    <w:rsid w:val="004F23A0"/>
    <w:rsid w:val="005267C0"/>
    <w:rsid w:val="00576DBC"/>
    <w:rsid w:val="00591715"/>
    <w:rsid w:val="005A3200"/>
    <w:rsid w:val="005B614A"/>
    <w:rsid w:val="005C0308"/>
    <w:rsid w:val="005C2328"/>
    <w:rsid w:val="005F19D6"/>
    <w:rsid w:val="00614578"/>
    <w:rsid w:val="00617892"/>
    <w:rsid w:val="0062319A"/>
    <w:rsid w:val="00630ACB"/>
    <w:rsid w:val="00647743"/>
    <w:rsid w:val="00647849"/>
    <w:rsid w:val="00647B0A"/>
    <w:rsid w:val="00666CA6"/>
    <w:rsid w:val="00671B5B"/>
    <w:rsid w:val="00674B39"/>
    <w:rsid w:val="006849C1"/>
    <w:rsid w:val="006A510D"/>
    <w:rsid w:val="006B3EF4"/>
    <w:rsid w:val="006C015A"/>
    <w:rsid w:val="006C4993"/>
    <w:rsid w:val="006F5B6C"/>
    <w:rsid w:val="0070732B"/>
    <w:rsid w:val="00727AC0"/>
    <w:rsid w:val="007331BC"/>
    <w:rsid w:val="007448B9"/>
    <w:rsid w:val="00784E26"/>
    <w:rsid w:val="007946F0"/>
    <w:rsid w:val="007C448E"/>
    <w:rsid w:val="007E0F00"/>
    <w:rsid w:val="007E3290"/>
    <w:rsid w:val="007E7FF5"/>
    <w:rsid w:val="007F22F6"/>
    <w:rsid w:val="008069D1"/>
    <w:rsid w:val="0081235D"/>
    <w:rsid w:val="00821B71"/>
    <w:rsid w:val="00837448"/>
    <w:rsid w:val="0084205C"/>
    <w:rsid w:val="00843522"/>
    <w:rsid w:val="008438C7"/>
    <w:rsid w:val="00892F7C"/>
    <w:rsid w:val="0089430B"/>
    <w:rsid w:val="00895B8A"/>
    <w:rsid w:val="008F1039"/>
    <w:rsid w:val="008F2F12"/>
    <w:rsid w:val="00924A94"/>
    <w:rsid w:val="00924C3D"/>
    <w:rsid w:val="00952BCF"/>
    <w:rsid w:val="00957983"/>
    <w:rsid w:val="00981BB1"/>
    <w:rsid w:val="0099679D"/>
    <w:rsid w:val="009B21ED"/>
    <w:rsid w:val="009E1C1E"/>
    <w:rsid w:val="009E5457"/>
    <w:rsid w:val="00A11F49"/>
    <w:rsid w:val="00A13BD6"/>
    <w:rsid w:val="00A31ABC"/>
    <w:rsid w:val="00A31D6D"/>
    <w:rsid w:val="00A626A1"/>
    <w:rsid w:val="00A76F11"/>
    <w:rsid w:val="00A82353"/>
    <w:rsid w:val="00A827FB"/>
    <w:rsid w:val="00AA03FB"/>
    <w:rsid w:val="00AC59C0"/>
    <w:rsid w:val="00AD00F5"/>
    <w:rsid w:val="00AE6E9C"/>
    <w:rsid w:val="00B75E8B"/>
    <w:rsid w:val="00B80DDC"/>
    <w:rsid w:val="00BC601D"/>
    <w:rsid w:val="00BD145E"/>
    <w:rsid w:val="00BD1DA3"/>
    <w:rsid w:val="00C0417C"/>
    <w:rsid w:val="00C12BDF"/>
    <w:rsid w:val="00C255B1"/>
    <w:rsid w:val="00C30F49"/>
    <w:rsid w:val="00C74EBF"/>
    <w:rsid w:val="00C82BC1"/>
    <w:rsid w:val="00C90273"/>
    <w:rsid w:val="00CA3291"/>
    <w:rsid w:val="00CD03DF"/>
    <w:rsid w:val="00D30F9F"/>
    <w:rsid w:val="00D34C16"/>
    <w:rsid w:val="00D42701"/>
    <w:rsid w:val="00D946A6"/>
    <w:rsid w:val="00DA6011"/>
    <w:rsid w:val="00DE4AA1"/>
    <w:rsid w:val="00E014BC"/>
    <w:rsid w:val="00E26FE6"/>
    <w:rsid w:val="00E33012"/>
    <w:rsid w:val="00E61083"/>
    <w:rsid w:val="00EB3B51"/>
    <w:rsid w:val="00ED2EBC"/>
    <w:rsid w:val="00EE5976"/>
    <w:rsid w:val="00F00128"/>
    <w:rsid w:val="00F13813"/>
    <w:rsid w:val="00F220C1"/>
    <w:rsid w:val="00F44EEB"/>
    <w:rsid w:val="00F65CEB"/>
    <w:rsid w:val="00F93EEC"/>
    <w:rsid w:val="00FA0813"/>
    <w:rsid w:val="00FA267D"/>
    <w:rsid w:val="00FA6C65"/>
    <w:rsid w:val="00FD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618C"/>
  <w15:chartTrackingRefBased/>
  <w15:docId w15:val="{B7DFABEB-1AEB-4452-8B53-A2999D6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3EF4"/>
    <w:rPr>
      <w:sz w:val="16"/>
      <w:szCs w:val="16"/>
    </w:rPr>
  </w:style>
  <w:style w:type="paragraph" w:styleId="CommentText">
    <w:name w:val="annotation text"/>
    <w:basedOn w:val="Normal"/>
    <w:link w:val="CommentTextChar"/>
    <w:uiPriority w:val="99"/>
    <w:semiHidden/>
    <w:unhideWhenUsed/>
    <w:rsid w:val="006B3EF4"/>
    <w:pPr>
      <w:spacing w:line="240" w:lineRule="auto"/>
    </w:pPr>
    <w:rPr>
      <w:sz w:val="20"/>
      <w:szCs w:val="20"/>
    </w:rPr>
  </w:style>
  <w:style w:type="character" w:customStyle="1" w:styleId="CommentTextChar">
    <w:name w:val="Comment Text Char"/>
    <w:basedOn w:val="DefaultParagraphFont"/>
    <w:link w:val="CommentText"/>
    <w:uiPriority w:val="99"/>
    <w:semiHidden/>
    <w:rsid w:val="006B3EF4"/>
    <w:rPr>
      <w:sz w:val="20"/>
      <w:szCs w:val="20"/>
    </w:rPr>
  </w:style>
  <w:style w:type="paragraph" w:styleId="CommentSubject">
    <w:name w:val="annotation subject"/>
    <w:basedOn w:val="CommentText"/>
    <w:next w:val="CommentText"/>
    <w:link w:val="CommentSubjectChar"/>
    <w:uiPriority w:val="99"/>
    <w:semiHidden/>
    <w:unhideWhenUsed/>
    <w:rsid w:val="006B3EF4"/>
    <w:rPr>
      <w:b/>
      <w:bCs/>
    </w:rPr>
  </w:style>
  <w:style w:type="character" w:customStyle="1" w:styleId="CommentSubjectChar">
    <w:name w:val="Comment Subject Char"/>
    <w:basedOn w:val="CommentTextChar"/>
    <w:link w:val="CommentSubject"/>
    <w:uiPriority w:val="99"/>
    <w:semiHidden/>
    <w:rsid w:val="006B3EF4"/>
    <w:rPr>
      <w:b/>
      <w:bCs/>
      <w:sz w:val="20"/>
      <w:szCs w:val="20"/>
    </w:rPr>
  </w:style>
  <w:style w:type="paragraph" w:styleId="BalloonText">
    <w:name w:val="Balloon Text"/>
    <w:basedOn w:val="Normal"/>
    <w:link w:val="BalloonTextChar"/>
    <w:uiPriority w:val="99"/>
    <w:semiHidden/>
    <w:unhideWhenUsed/>
    <w:rsid w:val="006B3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F4"/>
    <w:rPr>
      <w:rFonts w:ascii="Segoe UI" w:hAnsi="Segoe UI" w:cs="Segoe UI"/>
      <w:sz w:val="18"/>
      <w:szCs w:val="18"/>
    </w:rPr>
  </w:style>
  <w:style w:type="paragraph" w:styleId="ListParagraph">
    <w:name w:val="List Paragraph"/>
    <w:basedOn w:val="Normal"/>
    <w:uiPriority w:val="34"/>
    <w:qFormat/>
    <w:rsid w:val="007C448E"/>
    <w:pPr>
      <w:ind w:left="720"/>
      <w:contextualSpacing/>
    </w:pPr>
  </w:style>
  <w:style w:type="paragraph" w:styleId="Header">
    <w:name w:val="header"/>
    <w:basedOn w:val="Normal"/>
    <w:link w:val="HeaderChar"/>
    <w:uiPriority w:val="99"/>
    <w:unhideWhenUsed/>
    <w:rsid w:val="0089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8A"/>
  </w:style>
  <w:style w:type="paragraph" w:styleId="Footer">
    <w:name w:val="footer"/>
    <w:basedOn w:val="Normal"/>
    <w:link w:val="FooterChar"/>
    <w:uiPriority w:val="99"/>
    <w:unhideWhenUsed/>
    <w:rsid w:val="0089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8A"/>
  </w:style>
  <w:style w:type="character" w:styleId="Hyperlink">
    <w:name w:val="Hyperlink"/>
    <w:basedOn w:val="DefaultParagraphFont"/>
    <w:uiPriority w:val="99"/>
    <w:semiHidden/>
    <w:unhideWhenUsed/>
    <w:rsid w:val="005C2328"/>
    <w:rPr>
      <w:color w:val="0000FF"/>
      <w:u w:val="single"/>
    </w:rPr>
  </w:style>
  <w:style w:type="paragraph" w:customStyle="1" w:styleId="m6624531295549170245msoplaintext">
    <w:name w:val="m_6624531295549170245msoplaintext"/>
    <w:basedOn w:val="Normal"/>
    <w:rsid w:val="006C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92F7C"/>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465A3E"/>
    <w:pPr>
      <w:spacing w:before="200"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65A3E"/>
    <w:rPr>
      <w:rFonts w:eastAsiaTheme="minorEastAsia"/>
      <w:sz w:val="20"/>
      <w:szCs w:val="20"/>
    </w:rPr>
  </w:style>
  <w:style w:type="paragraph" w:styleId="Revision">
    <w:name w:val="Revision"/>
    <w:hidden/>
    <w:uiPriority w:val="99"/>
    <w:semiHidden/>
    <w:rsid w:val="004A5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46166">
      <w:bodyDiv w:val="1"/>
      <w:marLeft w:val="0"/>
      <w:marRight w:val="0"/>
      <w:marTop w:val="0"/>
      <w:marBottom w:val="0"/>
      <w:divBdr>
        <w:top w:val="none" w:sz="0" w:space="0" w:color="auto"/>
        <w:left w:val="none" w:sz="0" w:space="0" w:color="auto"/>
        <w:bottom w:val="none" w:sz="0" w:space="0" w:color="auto"/>
        <w:right w:val="none" w:sz="0" w:space="0" w:color="auto"/>
      </w:divBdr>
    </w:div>
    <w:div w:id="1204828016">
      <w:bodyDiv w:val="1"/>
      <w:marLeft w:val="0"/>
      <w:marRight w:val="0"/>
      <w:marTop w:val="0"/>
      <w:marBottom w:val="0"/>
      <w:divBdr>
        <w:top w:val="none" w:sz="0" w:space="0" w:color="auto"/>
        <w:left w:val="none" w:sz="0" w:space="0" w:color="auto"/>
        <w:bottom w:val="none" w:sz="0" w:space="0" w:color="auto"/>
        <w:right w:val="none" w:sz="0" w:space="0" w:color="auto"/>
      </w:divBdr>
    </w:div>
    <w:div w:id="1343976293">
      <w:bodyDiv w:val="1"/>
      <w:marLeft w:val="0"/>
      <w:marRight w:val="0"/>
      <w:marTop w:val="0"/>
      <w:marBottom w:val="0"/>
      <w:divBdr>
        <w:top w:val="none" w:sz="0" w:space="0" w:color="auto"/>
        <w:left w:val="none" w:sz="0" w:space="0" w:color="auto"/>
        <w:bottom w:val="none" w:sz="0" w:space="0" w:color="auto"/>
        <w:right w:val="none" w:sz="0" w:space="0" w:color="auto"/>
      </w:divBdr>
      <w:divsChild>
        <w:div w:id="176699324">
          <w:marLeft w:val="0"/>
          <w:marRight w:val="0"/>
          <w:marTop w:val="0"/>
          <w:marBottom w:val="0"/>
          <w:divBdr>
            <w:top w:val="none" w:sz="0" w:space="0" w:color="auto"/>
            <w:left w:val="none" w:sz="0" w:space="0" w:color="auto"/>
            <w:bottom w:val="none" w:sz="0" w:space="0" w:color="auto"/>
            <w:right w:val="none" w:sz="0" w:space="0" w:color="auto"/>
          </w:divBdr>
        </w:div>
      </w:divsChild>
    </w:div>
    <w:div w:id="1565721117">
      <w:bodyDiv w:val="1"/>
      <w:marLeft w:val="0"/>
      <w:marRight w:val="0"/>
      <w:marTop w:val="0"/>
      <w:marBottom w:val="0"/>
      <w:divBdr>
        <w:top w:val="none" w:sz="0" w:space="0" w:color="auto"/>
        <w:left w:val="none" w:sz="0" w:space="0" w:color="auto"/>
        <w:bottom w:val="none" w:sz="0" w:space="0" w:color="auto"/>
        <w:right w:val="none" w:sz="0" w:space="0" w:color="auto"/>
      </w:divBdr>
    </w:div>
    <w:div w:id="1587569965">
      <w:bodyDiv w:val="1"/>
      <w:marLeft w:val="0"/>
      <w:marRight w:val="0"/>
      <w:marTop w:val="0"/>
      <w:marBottom w:val="0"/>
      <w:divBdr>
        <w:top w:val="none" w:sz="0" w:space="0" w:color="auto"/>
        <w:left w:val="none" w:sz="0" w:space="0" w:color="auto"/>
        <w:bottom w:val="none" w:sz="0" w:space="0" w:color="auto"/>
        <w:right w:val="none" w:sz="0" w:space="0" w:color="auto"/>
      </w:divBdr>
    </w:div>
    <w:div w:id="1709060756">
      <w:bodyDiv w:val="1"/>
      <w:marLeft w:val="0"/>
      <w:marRight w:val="0"/>
      <w:marTop w:val="0"/>
      <w:marBottom w:val="0"/>
      <w:divBdr>
        <w:top w:val="none" w:sz="0" w:space="0" w:color="auto"/>
        <w:left w:val="none" w:sz="0" w:space="0" w:color="auto"/>
        <w:bottom w:val="none" w:sz="0" w:space="0" w:color="auto"/>
        <w:right w:val="none" w:sz="0" w:space="0" w:color="auto"/>
      </w:divBdr>
    </w:div>
    <w:div w:id="2030181389">
      <w:bodyDiv w:val="1"/>
      <w:marLeft w:val="0"/>
      <w:marRight w:val="0"/>
      <w:marTop w:val="0"/>
      <w:marBottom w:val="0"/>
      <w:divBdr>
        <w:top w:val="none" w:sz="0" w:space="0" w:color="auto"/>
        <w:left w:val="none" w:sz="0" w:space="0" w:color="auto"/>
        <w:bottom w:val="none" w:sz="0" w:space="0" w:color="auto"/>
        <w:right w:val="none" w:sz="0" w:space="0" w:color="auto"/>
      </w:divBdr>
      <w:divsChild>
        <w:div w:id="1630670158">
          <w:marLeft w:val="0"/>
          <w:marRight w:val="0"/>
          <w:marTop w:val="0"/>
          <w:marBottom w:val="0"/>
          <w:divBdr>
            <w:top w:val="none" w:sz="0" w:space="0" w:color="auto"/>
            <w:left w:val="none" w:sz="0" w:space="0" w:color="auto"/>
            <w:bottom w:val="none" w:sz="0" w:space="0" w:color="auto"/>
            <w:right w:val="none" w:sz="0" w:space="0" w:color="auto"/>
          </w:divBdr>
        </w:div>
        <w:div w:id="415906429">
          <w:marLeft w:val="0"/>
          <w:marRight w:val="0"/>
          <w:marTop w:val="0"/>
          <w:marBottom w:val="0"/>
          <w:divBdr>
            <w:top w:val="none" w:sz="0" w:space="0" w:color="auto"/>
            <w:left w:val="none" w:sz="0" w:space="0" w:color="auto"/>
            <w:bottom w:val="none" w:sz="0" w:space="0" w:color="auto"/>
            <w:right w:val="none" w:sz="0" w:space="0" w:color="auto"/>
          </w:divBdr>
        </w:div>
        <w:div w:id="1717268919">
          <w:marLeft w:val="0"/>
          <w:marRight w:val="0"/>
          <w:marTop w:val="0"/>
          <w:marBottom w:val="0"/>
          <w:divBdr>
            <w:top w:val="none" w:sz="0" w:space="0" w:color="auto"/>
            <w:left w:val="none" w:sz="0" w:space="0" w:color="auto"/>
            <w:bottom w:val="none" w:sz="0" w:space="0" w:color="auto"/>
            <w:right w:val="none" w:sz="0" w:space="0" w:color="auto"/>
          </w:divBdr>
        </w:div>
        <w:div w:id="543368018">
          <w:marLeft w:val="0"/>
          <w:marRight w:val="0"/>
          <w:marTop w:val="0"/>
          <w:marBottom w:val="0"/>
          <w:divBdr>
            <w:top w:val="none" w:sz="0" w:space="0" w:color="auto"/>
            <w:left w:val="none" w:sz="0" w:space="0" w:color="auto"/>
            <w:bottom w:val="none" w:sz="0" w:space="0" w:color="auto"/>
            <w:right w:val="none" w:sz="0" w:space="0" w:color="auto"/>
          </w:divBdr>
        </w:div>
        <w:div w:id="226189134">
          <w:marLeft w:val="0"/>
          <w:marRight w:val="0"/>
          <w:marTop w:val="0"/>
          <w:marBottom w:val="0"/>
          <w:divBdr>
            <w:top w:val="none" w:sz="0" w:space="0" w:color="auto"/>
            <w:left w:val="none" w:sz="0" w:space="0" w:color="auto"/>
            <w:bottom w:val="none" w:sz="0" w:space="0" w:color="auto"/>
            <w:right w:val="none" w:sz="0" w:space="0" w:color="auto"/>
          </w:divBdr>
        </w:div>
        <w:div w:id="1450977862">
          <w:marLeft w:val="0"/>
          <w:marRight w:val="0"/>
          <w:marTop w:val="0"/>
          <w:marBottom w:val="0"/>
          <w:divBdr>
            <w:top w:val="none" w:sz="0" w:space="0" w:color="auto"/>
            <w:left w:val="none" w:sz="0" w:space="0" w:color="auto"/>
            <w:bottom w:val="none" w:sz="0" w:space="0" w:color="auto"/>
            <w:right w:val="none" w:sz="0" w:space="0" w:color="auto"/>
          </w:divBdr>
        </w:div>
        <w:div w:id="1384253226">
          <w:marLeft w:val="0"/>
          <w:marRight w:val="0"/>
          <w:marTop w:val="0"/>
          <w:marBottom w:val="0"/>
          <w:divBdr>
            <w:top w:val="none" w:sz="0" w:space="0" w:color="auto"/>
            <w:left w:val="none" w:sz="0" w:space="0" w:color="auto"/>
            <w:bottom w:val="none" w:sz="0" w:space="0" w:color="auto"/>
            <w:right w:val="none" w:sz="0" w:space="0" w:color="auto"/>
          </w:divBdr>
        </w:div>
        <w:div w:id="1414936407">
          <w:marLeft w:val="0"/>
          <w:marRight w:val="0"/>
          <w:marTop w:val="0"/>
          <w:marBottom w:val="0"/>
          <w:divBdr>
            <w:top w:val="none" w:sz="0" w:space="0" w:color="auto"/>
            <w:left w:val="none" w:sz="0" w:space="0" w:color="auto"/>
            <w:bottom w:val="none" w:sz="0" w:space="0" w:color="auto"/>
            <w:right w:val="none" w:sz="0" w:space="0" w:color="auto"/>
          </w:divBdr>
        </w:div>
        <w:div w:id="1736508746">
          <w:marLeft w:val="0"/>
          <w:marRight w:val="0"/>
          <w:marTop w:val="0"/>
          <w:marBottom w:val="0"/>
          <w:divBdr>
            <w:top w:val="none" w:sz="0" w:space="0" w:color="auto"/>
            <w:left w:val="none" w:sz="0" w:space="0" w:color="auto"/>
            <w:bottom w:val="none" w:sz="0" w:space="0" w:color="auto"/>
            <w:right w:val="none" w:sz="0" w:space="0" w:color="auto"/>
          </w:divBdr>
          <w:divsChild>
            <w:div w:id="729615130">
              <w:marLeft w:val="0"/>
              <w:marRight w:val="0"/>
              <w:marTop w:val="0"/>
              <w:marBottom w:val="0"/>
              <w:divBdr>
                <w:top w:val="none" w:sz="0" w:space="0" w:color="auto"/>
                <w:left w:val="none" w:sz="0" w:space="0" w:color="auto"/>
                <w:bottom w:val="none" w:sz="0" w:space="0" w:color="auto"/>
                <w:right w:val="none" w:sz="0" w:space="0" w:color="auto"/>
              </w:divBdr>
            </w:div>
            <w:div w:id="1961643927">
              <w:marLeft w:val="0"/>
              <w:marRight w:val="0"/>
              <w:marTop w:val="0"/>
              <w:marBottom w:val="0"/>
              <w:divBdr>
                <w:top w:val="none" w:sz="0" w:space="0" w:color="auto"/>
                <w:left w:val="none" w:sz="0" w:space="0" w:color="auto"/>
                <w:bottom w:val="none" w:sz="0" w:space="0" w:color="auto"/>
                <w:right w:val="none" w:sz="0" w:space="0" w:color="auto"/>
              </w:divBdr>
            </w:div>
            <w:div w:id="165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7BDB-C301-4A1F-AC30-23F39C6C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Schul</dc:creator>
  <cp:keywords/>
  <dc:description/>
  <cp:lastModifiedBy>Brenda Winn</cp:lastModifiedBy>
  <cp:revision>60</cp:revision>
  <dcterms:created xsi:type="dcterms:W3CDTF">2021-09-10T19:14:00Z</dcterms:created>
  <dcterms:modified xsi:type="dcterms:W3CDTF">2022-08-05T13:07:00Z</dcterms:modified>
</cp:coreProperties>
</file>