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D12DC" w14:textId="77777777" w:rsidR="0045454D" w:rsidRPr="003F5F19" w:rsidRDefault="008A14E3" w:rsidP="003F5F19">
      <w:pPr>
        <w:jc w:val="center"/>
        <w:rPr>
          <w:b/>
          <w:sz w:val="32"/>
          <w:szCs w:val="32"/>
          <w:u w:val="single"/>
        </w:rPr>
      </w:pPr>
      <w:bookmarkStart w:id="0" w:name="_GoBack"/>
      <w:r w:rsidRPr="003F5F19">
        <w:rPr>
          <w:b/>
          <w:sz w:val="32"/>
          <w:szCs w:val="32"/>
          <w:u w:val="single"/>
        </w:rPr>
        <w:t>Application for CO</w:t>
      </w:r>
      <w:r w:rsidRPr="003F5F19">
        <w:rPr>
          <w:b/>
          <w:sz w:val="32"/>
          <w:szCs w:val="32"/>
          <w:u w:val="single"/>
          <w:vertAlign w:val="subscript"/>
        </w:rPr>
        <w:t>2</w:t>
      </w:r>
      <w:r w:rsidRPr="003F5F19">
        <w:rPr>
          <w:b/>
          <w:sz w:val="32"/>
          <w:szCs w:val="32"/>
          <w:u w:val="single"/>
        </w:rPr>
        <w:t xml:space="preserve"> Budget </w:t>
      </w:r>
      <w:r w:rsidR="004E4B60" w:rsidRPr="003F5F19">
        <w:rPr>
          <w:b/>
          <w:sz w:val="32"/>
          <w:szCs w:val="32"/>
          <w:u w:val="single"/>
        </w:rPr>
        <w:t>Operating Permit</w:t>
      </w:r>
    </w:p>
    <w:bookmarkEnd w:id="0"/>
    <w:p w14:paraId="21196A60" w14:textId="77777777" w:rsidR="004E4B60" w:rsidRDefault="004E4B60" w:rsidP="0045454D"/>
    <w:p w14:paraId="6712A04B" w14:textId="77777777" w:rsidR="003F5F19" w:rsidRDefault="003F5F19" w:rsidP="0045454D">
      <w:r>
        <w:t>This application is being submitted for an:</w:t>
      </w:r>
    </w:p>
    <w:p w14:paraId="509C38A8" w14:textId="77777777" w:rsidR="003F5F19" w:rsidRDefault="00EA76E2" w:rsidP="003F5F19">
      <w:pPr>
        <w:ind w:left="720"/>
      </w:pPr>
      <w:sdt>
        <w:sdtPr>
          <w:id w:val="377131158"/>
          <w14:checkbox>
            <w14:checked w14:val="0"/>
            <w14:checkedState w14:val="2612" w14:font="MS Gothic"/>
            <w14:uncheckedState w14:val="2610" w14:font="MS Gothic"/>
          </w14:checkbox>
        </w:sdtPr>
        <w:sdtEndPr/>
        <w:sdtContent>
          <w:r w:rsidR="003F5F19">
            <w:rPr>
              <w:rFonts w:ascii="MS Gothic" w:eastAsia="MS Gothic" w:hAnsi="MS Gothic" w:hint="eastAsia"/>
            </w:rPr>
            <w:t>☐</w:t>
          </w:r>
        </w:sdtContent>
      </w:sdt>
      <w:r w:rsidR="003F5F19">
        <w:t xml:space="preserve"> Initial Permit</w:t>
      </w:r>
    </w:p>
    <w:p w14:paraId="143675F4" w14:textId="7DC00B9A" w:rsidR="003F5F19" w:rsidRDefault="00EA76E2" w:rsidP="003F5F19">
      <w:pPr>
        <w:ind w:left="720"/>
      </w:pPr>
      <w:sdt>
        <w:sdtPr>
          <w:id w:val="1093365100"/>
          <w14:checkbox>
            <w14:checked w14:val="0"/>
            <w14:checkedState w14:val="2612" w14:font="MS Gothic"/>
            <w14:uncheckedState w14:val="2610" w14:font="MS Gothic"/>
          </w14:checkbox>
        </w:sdtPr>
        <w:sdtEndPr/>
        <w:sdtContent>
          <w:r w:rsidR="003F5F19">
            <w:rPr>
              <w:rFonts w:ascii="MS Gothic" w:eastAsia="MS Gothic" w:hAnsi="MS Gothic" w:hint="eastAsia"/>
            </w:rPr>
            <w:t>☐</w:t>
          </w:r>
        </w:sdtContent>
      </w:sdt>
      <w:r w:rsidR="003F5F19">
        <w:t xml:space="preserve"> Application Update.  All information must be included to ensure the updated application contains all necessary information, not just the information that changes.  No changes to the permit will be necessary.</w:t>
      </w:r>
    </w:p>
    <w:p w14:paraId="0857BADB" w14:textId="77777777" w:rsidR="003F5F19" w:rsidRDefault="003F5F19" w:rsidP="0045454D"/>
    <w:p w14:paraId="28A8134A" w14:textId="77777777" w:rsidR="003518E9" w:rsidRDefault="0045454D" w:rsidP="0045454D">
      <w:r>
        <w:t xml:space="preserve">Identification of the </w:t>
      </w:r>
      <w:r w:rsidR="00A32668" w:rsidRPr="003635E9">
        <w:t>CO</w:t>
      </w:r>
      <w:r w:rsidR="00A32668" w:rsidRPr="00A32668">
        <w:rPr>
          <w:vertAlign w:val="subscript"/>
        </w:rPr>
        <w:t>2</w:t>
      </w:r>
      <w:r w:rsidR="00A32668" w:rsidRPr="003635E9">
        <w:t xml:space="preserve"> </w:t>
      </w:r>
      <w:r>
        <w:t>budget source</w:t>
      </w:r>
      <w:r w:rsidR="004E4B60">
        <w:t>:</w:t>
      </w:r>
    </w:p>
    <w:tbl>
      <w:tblPr>
        <w:tblStyle w:val="TableGrid"/>
        <w:tblW w:w="0" w:type="auto"/>
        <w:tblLook w:val="0620" w:firstRow="1" w:lastRow="0" w:firstColumn="0" w:lastColumn="0" w:noHBand="1" w:noVBand="1"/>
        <w:tblDescription w:val="Fields to be completed to provide Identification of the CO2 budget source include: Plant Name, Plant Street Address, Plant City, Plant Zip Code, Registration Number, ORIS or EIA Facility Code and the name of the Designated Representative. "/>
      </w:tblPr>
      <w:tblGrid>
        <w:gridCol w:w="3055"/>
        <w:gridCol w:w="6295"/>
      </w:tblGrid>
      <w:tr w:rsidR="001D6BA1" w14:paraId="36F80CA3" w14:textId="77777777" w:rsidTr="002F2432">
        <w:trPr>
          <w:tblHeader/>
        </w:trPr>
        <w:tc>
          <w:tcPr>
            <w:tcW w:w="3055" w:type="dxa"/>
          </w:tcPr>
          <w:p w14:paraId="52F8CC68" w14:textId="77777777" w:rsidR="001D6BA1" w:rsidRDefault="001D6BA1" w:rsidP="0045454D">
            <w:r>
              <w:t>Plant Name</w:t>
            </w:r>
          </w:p>
        </w:tc>
        <w:tc>
          <w:tcPr>
            <w:tcW w:w="6295" w:type="dxa"/>
          </w:tcPr>
          <w:p w14:paraId="2DC69969" w14:textId="77777777" w:rsidR="001D6BA1" w:rsidRDefault="001D6BA1" w:rsidP="0045454D"/>
        </w:tc>
      </w:tr>
      <w:tr w:rsidR="001D6BA1" w14:paraId="50941067" w14:textId="77777777" w:rsidTr="002F2432">
        <w:tc>
          <w:tcPr>
            <w:tcW w:w="3055" w:type="dxa"/>
          </w:tcPr>
          <w:p w14:paraId="6509AB98" w14:textId="77777777" w:rsidR="001D6BA1" w:rsidRDefault="001D6BA1" w:rsidP="001D6BA1">
            <w:r>
              <w:t>Plant Address - Street</w:t>
            </w:r>
          </w:p>
        </w:tc>
        <w:tc>
          <w:tcPr>
            <w:tcW w:w="6295" w:type="dxa"/>
          </w:tcPr>
          <w:p w14:paraId="3F08D304" w14:textId="77777777" w:rsidR="001D6BA1" w:rsidRDefault="001D6BA1" w:rsidP="0045454D"/>
        </w:tc>
      </w:tr>
      <w:tr w:rsidR="001D6BA1" w14:paraId="1A13FC4D" w14:textId="77777777" w:rsidTr="002F2432">
        <w:tc>
          <w:tcPr>
            <w:tcW w:w="3055" w:type="dxa"/>
          </w:tcPr>
          <w:p w14:paraId="5B4611FD" w14:textId="77777777" w:rsidR="001D6BA1" w:rsidRDefault="001D6BA1" w:rsidP="001D6BA1">
            <w:r>
              <w:t xml:space="preserve">Plant Address - City </w:t>
            </w:r>
          </w:p>
        </w:tc>
        <w:tc>
          <w:tcPr>
            <w:tcW w:w="6295" w:type="dxa"/>
          </w:tcPr>
          <w:p w14:paraId="2A2CF732" w14:textId="77777777" w:rsidR="001D6BA1" w:rsidRDefault="001D6BA1" w:rsidP="0045454D"/>
        </w:tc>
      </w:tr>
      <w:tr w:rsidR="001D6BA1" w14:paraId="55EA752E" w14:textId="77777777" w:rsidTr="002F2432">
        <w:tc>
          <w:tcPr>
            <w:tcW w:w="3055" w:type="dxa"/>
          </w:tcPr>
          <w:p w14:paraId="0BC2E639" w14:textId="77777777" w:rsidR="001D6BA1" w:rsidRDefault="001D6BA1" w:rsidP="0045454D">
            <w:r>
              <w:t>Plant Address - Zip</w:t>
            </w:r>
          </w:p>
        </w:tc>
        <w:tc>
          <w:tcPr>
            <w:tcW w:w="6295" w:type="dxa"/>
          </w:tcPr>
          <w:p w14:paraId="4F06E0CA" w14:textId="77777777" w:rsidR="001D6BA1" w:rsidRDefault="001D6BA1" w:rsidP="0045454D"/>
        </w:tc>
      </w:tr>
      <w:tr w:rsidR="001D6BA1" w14:paraId="052F448C" w14:textId="77777777" w:rsidTr="002F2432">
        <w:tc>
          <w:tcPr>
            <w:tcW w:w="3055" w:type="dxa"/>
          </w:tcPr>
          <w:p w14:paraId="1E9E50B6" w14:textId="3E4A2685" w:rsidR="001D6BA1" w:rsidRDefault="001D6BA1" w:rsidP="00C355AC">
            <w:r>
              <w:t>Registration #</w:t>
            </w:r>
          </w:p>
        </w:tc>
        <w:tc>
          <w:tcPr>
            <w:tcW w:w="6295" w:type="dxa"/>
          </w:tcPr>
          <w:p w14:paraId="3A8B1848" w14:textId="77777777" w:rsidR="001D6BA1" w:rsidRDefault="001D6BA1" w:rsidP="0045454D"/>
        </w:tc>
      </w:tr>
      <w:tr w:rsidR="001D6BA1" w14:paraId="2ED8301E" w14:textId="77777777" w:rsidTr="002F2432">
        <w:tc>
          <w:tcPr>
            <w:tcW w:w="3055" w:type="dxa"/>
          </w:tcPr>
          <w:p w14:paraId="01655FCB" w14:textId="77777777" w:rsidR="001D6BA1" w:rsidRDefault="001D6BA1" w:rsidP="0045454D">
            <w:r>
              <w:t xml:space="preserve">ORIS or EIA Facility Code </w:t>
            </w:r>
          </w:p>
        </w:tc>
        <w:tc>
          <w:tcPr>
            <w:tcW w:w="6295" w:type="dxa"/>
          </w:tcPr>
          <w:p w14:paraId="29189350" w14:textId="77777777" w:rsidR="001D6BA1" w:rsidRDefault="001D6BA1" w:rsidP="0045454D"/>
        </w:tc>
      </w:tr>
      <w:tr w:rsidR="006A0601" w14:paraId="755B8DF2" w14:textId="77777777" w:rsidTr="002F2432">
        <w:tc>
          <w:tcPr>
            <w:tcW w:w="3055" w:type="dxa"/>
          </w:tcPr>
          <w:p w14:paraId="24577885" w14:textId="7327D25E" w:rsidR="006A0601" w:rsidRDefault="006A0601" w:rsidP="0045454D">
            <w:r>
              <w:t>Designated Representative</w:t>
            </w:r>
          </w:p>
        </w:tc>
        <w:tc>
          <w:tcPr>
            <w:tcW w:w="6295" w:type="dxa"/>
          </w:tcPr>
          <w:p w14:paraId="4AB74EEC" w14:textId="77777777" w:rsidR="006A0601" w:rsidRDefault="006A0601" w:rsidP="0045454D"/>
        </w:tc>
      </w:tr>
    </w:tbl>
    <w:p w14:paraId="36BABBE3" w14:textId="77777777" w:rsidR="00F11C9C" w:rsidRDefault="00F11C9C" w:rsidP="00F11C9C"/>
    <w:p w14:paraId="34C6D283" w14:textId="624D48FF" w:rsidR="00F11C9C" w:rsidRDefault="00F11C9C" w:rsidP="00F11C9C">
      <w:r>
        <w:t xml:space="preserve">Identify each </w:t>
      </w:r>
      <w:r w:rsidR="00A32668" w:rsidRPr="003635E9">
        <w:t>CO</w:t>
      </w:r>
      <w:r w:rsidR="00A32668" w:rsidRPr="00A32668">
        <w:rPr>
          <w:vertAlign w:val="subscript"/>
        </w:rPr>
        <w:t>2</w:t>
      </w:r>
      <w:r w:rsidR="00A32668" w:rsidRPr="003635E9">
        <w:t xml:space="preserve"> </w:t>
      </w:r>
      <w:r>
        <w:t xml:space="preserve">budget unit at the </w:t>
      </w:r>
      <w:r w:rsidR="00A32668" w:rsidRPr="003635E9">
        <w:t>CO</w:t>
      </w:r>
      <w:r w:rsidR="00A32668" w:rsidRPr="00A32668">
        <w:rPr>
          <w:vertAlign w:val="subscript"/>
        </w:rPr>
        <w:t>2</w:t>
      </w:r>
      <w:r w:rsidR="00A32668" w:rsidRPr="003635E9">
        <w:t xml:space="preserve"> </w:t>
      </w:r>
      <w:r>
        <w:t>budget source for which this application is being submitted</w:t>
      </w:r>
      <w:r w:rsidR="001D6BA1">
        <w:t xml:space="preserve"> (Add or Delete Rows as needed)</w:t>
      </w:r>
      <w:r>
        <w:t>:</w:t>
      </w:r>
    </w:p>
    <w:tbl>
      <w:tblPr>
        <w:tblStyle w:val="TableGrid"/>
        <w:tblW w:w="8995" w:type="dxa"/>
        <w:tblLook w:val="04A0" w:firstRow="1" w:lastRow="0" w:firstColumn="1" w:lastColumn="0" w:noHBand="0" w:noVBand="1"/>
        <w:tblCaption w:val="Equipment in the Action"/>
        <w:tblDescription w:val="Equipment in the Action"/>
      </w:tblPr>
      <w:tblGrid>
        <w:gridCol w:w="1458"/>
        <w:gridCol w:w="5557"/>
        <w:gridCol w:w="1980"/>
      </w:tblGrid>
      <w:tr w:rsidR="00F11C9C" w:rsidRPr="00E6587B" w14:paraId="624CED9F" w14:textId="77777777" w:rsidTr="009A259B">
        <w:trPr>
          <w:cantSplit/>
          <w:tblHeader/>
        </w:trPr>
        <w:tc>
          <w:tcPr>
            <w:tcW w:w="1458" w:type="dxa"/>
          </w:tcPr>
          <w:p w14:paraId="4A86C20F" w14:textId="49F657DF" w:rsidR="00F11C9C" w:rsidRPr="00E6587B" w:rsidRDefault="001E68F6" w:rsidP="001E68F6">
            <w:pPr>
              <w:pStyle w:val="PermitTableHeadings"/>
            </w:pPr>
            <w:r w:rsidRPr="001E68F6">
              <w:t>CO</w:t>
            </w:r>
            <w:r w:rsidRPr="001E68F6">
              <w:rPr>
                <w:vertAlign w:val="subscript"/>
              </w:rPr>
              <w:t>2</w:t>
            </w:r>
            <w:r>
              <w:t xml:space="preserve">Budget Unit </w:t>
            </w:r>
            <w:r w:rsidR="00F11C9C" w:rsidRPr="001E68F6">
              <w:t>Reference</w:t>
            </w:r>
            <w:r w:rsidR="00F11C9C" w:rsidRPr="00E6587B">
              <w:t xml:space="preserve"> </w:t>
            </w:r>
            <w:r>
              <w:t>ID</w:t>
            </w:r>
          </w:p>
        </w:tc>
        <w:tc>
          <w:tcPr>
            <w:tcW w:w="5557" w:type="dxa"/>
          </w:tcPr>
          <w:p w14:paraId="2ECF8474" w14:textId="0A95E746" w:rsidR="00F11C9C" w:rsidRPr="00E6587B" w:rsidRDefault="001E68F6" w:rsidP="009A259B">
            <w:pPr>
              <w:pStyle w:val="PermitTableHeadings"/>
            </w:pPr>
            <w:r w:rsidRPr="001E68F6">
              <w:t>CO</w:t>
            </w:r>
            <w:r w:rsidRPr="001E68F6">
              <w:rPr>
                <w:vertAlign w:val="subscript"/>
              </w:rPr>
              <w:t>2</w:t>
            </w:r>
            <w:r>
              <w:t xml:space="preserve">Budget Unit </w:t>
            </w:r>
            <w:r w:rsidR="00F11C9C" w:rsidRPr="00E6587B">
              <w:t>Description</w:t>
            </w:r>
          </w:p>
        </w:tc>
        <w:tc>
          <w:tcPr>
            <w:tcW w:w="1980" w:type="dxa"/>
          </w:tcPr>
          <w:p w14:paraId="6A192929" w14:textId="36073210" w:rsidR="00F11C9C" w:rsidRPr="00E6587B" w:rsidRDefault="001E68F6" w:rsidP="009A259B">
            <w:pPr>
              <w:pStyle w:val="PermitTableHeadings"/>
            </w:pPr>
            <w:r w:rsidRPr="001E68F6">
              <w:t>CO</w:t>
            </w:r>
            <w:r w:rsidRPr="001E68F6">
              <w:rPr>
                <w:vertAlign w:val="subscript"/>
              </w:rPr>
              <w:t>2</w:t>
            </w:r>
            <w:r>
              <w:t xml:space="preserve">Budget Unit </w:t>
            </w:r>
            <w:r w:rsidR="00F11C9C" w:rsidRPr="00E6587B">
              <w:t>Rated Capacity</w:t>
            </w:r>
          </w:p>
        </w:tc>
      </w:tr>
      <w:tr w:rsidR="00F11C9C" w:rsidRPr="00E6587B" w14:paraId="3129EBE4" w14:textId="77777777" w:rsidTr="009A259B">
        <w:tc>
          <w:tcPr>
            <w:tcW w:w="1458" w:type="dxa"/>
          </w:tcPr>
          <w:p w14:paraId="3C44E3E6" w14:textId="77777777" w:rsidR="00F11C9C" w:rsidRPr="00E6587B" w:rsidRDefault="00F11C9C" w:rsidP="009A259B">
            <w:pPr>
              <w:pStyle w:val="PermitTable"/>
            </w:pPr>
          </w:p>
        </w:tc>
        <w:tc>
          <w:tcPr>
            <w:tcW w:w="5557" w:type="dxa"/>
          </w:tcPr>
          <w:p w14:paraId="39E7C10D" w14:textId="77777777" w:rsidR="00F11C9C" w:rsidRPr="00E6587B" w:rsidRDefault="00F11C9C" w:rsidP="009A259B">
            <w:pPr>
              <w:pStyle w:val="PermitTable"/>
            </w:pPr>
          </w:p>
        </w:tc>
        <w:tc>
          <w:tcPr>
            <w:tcW w:w="1980" w:type="dxa"/>
          </w:tcPr>
          <w:p w14:paraId="0AE5E90A" w14:textId="77777777" w:rsidR="00F11C9C" w:rsidRPr="00E6587B" w:rsidRDefault="00F11C9C" w:rsidP="009A259B">
            <w:pPr>
              <w:pStyle w:val="PermitTable"/>
            </w:pPr>
          </w:p>
        </w:tc>
      </w:tr>
      <w:tr w:rsidR="00F11C9C" w:rsidRPr="00E6587B" w14:paraId="20CF1AF9" w14:textId="77777777" w:rsidTr="009A259B">
        <w:tc>
          <w:tcPr>
            <w:tcW w:w="1458" w:type="dxa"/>
          </w:tcPr>
          <w:p w14:paraId="304B59B4" w14:textId="77777777" w:rsidR="00F11C9C" w:rsidRPr="00E6587B" w:rsidRDefault="00F11C9C" w:rsidP="009A259B">
            <w:pPr>
              <w:pStyle w:val="PermitTable"/>
            </w:pPr>
          </w:p>
        </w:tc>
        <w:tc>
          <w:tcPr>
            <w:tcW w:w="5557" w:type="dxa"/>
          </w:tcPr>
          <w:p w14:paraId="55BD19FE" w14:textId="77777777" w:rsidR="00F11C9C" w:rsidRPr="00E6587B" w:rsidRDefault="00F11C9C" w:rsidP="009A259B">
            <w:pPr>
              <w:pStyle w:val="PermitTable"/>
            </w:pPr>
          </w:p>
        </w:tc>
        <w:tc>
          <w:tcPr>
            <w:tcW w:w="1980" w:type="dxa"/>
          </w:tcPr>
          <w:p w14:paraId="529B09AD" w14:textId="77777777" w:rsidR="00F11C9C" w:rsidRPr="00E6587B" w:rsidRDefault="00F11C9C" w:rsidP="009A259B">
            <w:pPr>
              <w:pStyle w:val="PermitTable"/>
            </w:pPr>
          </w:p>
        </w:tc>
      </w:tr>
      <w:tr w:rsidR="00F11C9C" w:rsidRPr="00E6587B" w14:paraId="4D3C48A9" w14:textId="77777777" w:rsidTr="009A259B">
        <w:tc>
          <w:tcPr>
            <w:tcW w:w="1458" w:type="dxa"/>
          </w:tcPr>
          <w:p w14:paraId="444A963A" w14:textId="77777777" w:rsidR="00F11C9C" w:rsidRPr="00E6587B" w:rsidRDefault="00F11C9C" w:rsidP="009A259B">
            <w:pPr>
              <w:pStyle w:val="PermitTable"/>
            </w:pPr>
          </w:p>
        </w:tc>
        <w:tc>
          <w:tcPr>
            <w:tcW w:w="5557" w:type="dxa"/>
          </w:tcPr>
          <w:p w14:paraId="7C720BC1" w14:textId="77777777" w:rsidR="00F11C9C" w:rsidRPr="00E6587B" w:rsidRDefault="00F11C9C" w:rsidP="009A259B">
            <w:pPr>
              <w:pStyle w:val="PermitTable"/>
            </w:pPr>
          </w:p>
        </w:tc>
        <w:tc>
          <w:tcPr>
            <w:tcW w:w="1980" w:type="dxa"/>
          </w:tcPr>
          <w:p w14:paraId="3E39DF67" w14:textId="77777777" w:rsidR="00F11C9C" w:rsidRPr="00E6587B" w:rsidRDefault="00F11C9C" w:rsidP="009A259B">
            <w:pPr>
              <w:pStyle w:val="PermitTable"/>
            </w:pPr>
          </w:p>
        </w:tc>
      </w:tr>
    </w:tbl>
    <w:p w14:paraId="1CBC57DC" w14:textId="77777777" w:rsidR="003518E9" w:rsidRDefault="003518E9" w:rsidP="0045454D"/>
    <w:p w14:paraId="1735B3B1" w14:textId="77777777" w:rsidR="00445410" w:rsidRDefault="00445410">
      <w:pPr>
        <w:spacing w:after="200" w:line="276" w:lineRule="auto"/>
      </w:pPr>
      <w:r>
        <w:br w:type="page"/>
      </w:r>
    </w:p>
    <w:p w14:paraId="023B53D0" w14:textId="77777777" w:rsidR="00445410" w:rsidRDefault="00445410" w:rsidP="0045454D"/>
    <w:p w14:paraId="390B031E" w14:textId="14E02480" w:rsidR="0045454D" w:rsidRDefault="0045454D" w:rsidP="0045454D">
      <w:r w:rsidRPr="00C355AC">
        <w:rPr>
          <w:u w:val="single"/>
        </w:rPr>
        <w:t>Permit requirements shall be as follows</w:t>
      </w:r>
      <w:r w:rsidR="001E68F6">
        <w:t>:</w:t>
      </w:r>
    </w:p>
    <w:p w14:paraId="76836459" w14:textId="77777777" w:rsidR="0045454D" w:rsidRDefault="0045454D" w:rsidP="0045454D">
      <w:r>
        <w:t xml:space="preserve">1. The </w:t>
      </w:r>
      <w:r w:rsidR="00A32668" w:rsidRPr="003635E9">
        <w:t>CO</w:t>
      </w:r>
      <w:r w:rsidR="00A32668" w:rsidRPr="00A32668">
        <w:rPr>
          <w:vertAlign w:val="subscript"/>
        </w:rPr>
        <w:t>2</w:t>
      </w:r>
      <w:r w:rsidR="00A32668" w:rsidRPr="003635E9">
        <w:t xml:space="preserve"> </w:t>
      </w:r>
      <w:r>
        <w:t xml:space="preserve">authorized account representative of each </w:t>
      </w:r>
      <w:r w:rsidR="00A32668" w:rsidRPr="003635E9">
        <w:t>CO</w:t>
      </w:r>
      <w:r w:rsidR="00A32668" w:rsidRPr="00A32668">
        <w:rPr>
          <w:vertAlign w:val="subscript"/>
        </w:rPr>
        <w:t>2</w:t>
      </w:r>
      <w:r w:rsidR="00A32668" w:rsidRPr="003635E9">
        <w:t xml:space="preserve"> </w:t>
      </w:r>
      <w:r>
        <w:t xml:space="preserve">budget source required to have an operating permit pursuant to 9VAC5-85 (Permits for Stationary Sources of Pollutants Subject to Regulation) and each </w:t>
      </w:r>
      <w:r w:rsidR="00A32668" w:rsidRPr="003635E9">
        <w:t>CO</w:t>
      </w:r>
      <w:r w:rsidR="00A32668" w:rsidRPr="00A32668">
        <w:rPr>
          <w:vertAlign w:val="subscript"/>
        </w:rPr>
        <w:t>2</w:t>
      </w:r>
      <w:r w:rsidR="00A32668" w:rsidRPr="003635E9">
        <w:t xml:space="preserve"> </w:t>
      </w:r>
      <w:r>
        <w:t>budget unit required to have an operating permit pursuant to 9VAC5-85 shall:</w:t>
      </w:r>
    </w:p>
    <w:p w14:paraId="29ADA1FF" w14:textId="77777777" w:rsidR="0045454D" w:rsidRDefault="0045454D" w:rsidP="0045454D">
      <w:r>
        <w:t xml:space="preserve">a. Submit to the department a complete </w:t>
      </w:r>
      <w:r w:rsidR="00A32668" w:rsidRPr="003635E9">
        <w:t>CO</w:t>
      </w:r>
      <w:r w:rsidR="00A32668" w:rsidRPr="00A32668">
        <w:rPr>
          <w:vertAlign w:val="subscript"/>
        </w:rPr>
        <w:t>2</w:t>
      </w:r>
      <w:r w:rsidR="00A32668" w:rsidRPr="003635E9">
        <w:t xml:space="preserve"> </w:t>
      </w:r>
      <w:r>
        <w:t>budget permit application under 9VAC5-140-6160 in accordance with the deadlines specified in 9VAC5-140-6150; and</w:t>
      </w:r>
    </w:p>
    <w:p w14:paraId="052C6A43" w14:textId="77777777" w:rsidR="0045454D" w:rsidRDefault="0045454D" w:rsidP="0045454D">
      <w:r>
        <w:t xml:space="preserve">b. Submit in a timely manner any supplemental information that the department determines is necessary in order to review the </w:t>
      </w:r>
      <w:r w:rsidR="00A32668" w:rsidRPr="003635E9">
        <w:t>CO</w:t>
      </w:r>
      <w:r w:rsidR="00A32668" w:rsidRPr="00A32668">
        <w:rPr>
          <w:vertAlign w:val="subscript"/>
        </w:rPr>
        <w:t>2</w:t>
      </w:r>
      <w:r w:rsidR="00A32668" w:rsidRPr="003635E9">
        <w:t xml:space="preserve"> </w:t>
      </w:r>
      <w:r>
        <w:t xml:space="preserve">budget permit application and issue or deny a </w:t>
      </w:r>
      <w:r w:rsidR="00A32668" w:rsidRPr="003635E9">
        <w:t>CO</w:t>
      </w:r>
      <w:r w:rsidR="00A32668" w:rsidRPr="00A32668">
        <w:rPr>
          <w:vertAlign w:val="subscript"/>
        </w:rPr>
        <w:t>2</w:t>
      </w:r>
      <w:r w:rsidR="00A32668" w:rsidRPr="003635E9">
        <w:t xml:space="preserve"> </w:t>
      </w:r>
      <w:r>
        <w:t>budget permit.</w:t>
      </w:r>
    </w:p>
    <w:p w14:paraId="13F54FC7" w14:textId="77777777" w:rsidR="0045454D" w:rsidRDefault="0045454D" w:rsidP="0045454D">
      <w:r>
        <w:t xml:space="preserve">2. The owners and operators of each </w:t>
      </w:r>
      <w:r w:rsidR="00A32668" w:rsidRPr="003635E9">
        <w:t>CO</w:t>
      </w:r>
      <w:r w:rsidR="00A32668" w:rsidRPr="00A32668">
        <w:rPr>
          <w:vertAlign w:val="subscript"/>
        </w:rPr>
        <w:t>2</w:t>
      </w:r>
      <w:r w:rsidR="00A32668" w:rsidRPr="003635E9">
        <w:t xml:space="preserve"> </w:t>
      </w:r>
      <w:r>
        <w:t xml:space="preserve">budget source required to have an operating permit pursuant to 9VAC5-85 (Permits for Stationary Sources of Pollutants Subject to Regulation) and each </w:t>
      </w:r>
      <w:r w:rsidR="00A32668" w:rsidRPr="003635E9">
        <w:t>CO</w:t>
      </w:r>
      <w:r w:rsidR="00A32668" w:rsidRPr="00A32668">
        <w:rPr>
          <w:vertAlign w:val="subscript"/>
        </w:rPr>
        <w:t>2</w:t>
      </w:r>
      <w:r w:rsidR="00A32668" w:rsidRPr="003635E9">
        <w:t xml:space="preserve"> </w:t>
      </w:r>
      <w:r>
        <w:t xml:space="preserve">budget unit required to have an operating permit pursuant to 9VAC5-85 for the source shall have a </w:t>
      </w:r>
      <w:r w:rsidR="00A32668" w:rsidRPr="003635E9">
        <w:t>CO</w:t>
      </w:r>
      <w:r w:rsidR="00A32668" w:rsidRPr="00A32668">
        <w:rPr>
          <w:vertAlign w:val="subscript"/>
        </w:rPr>
        <w:t>2</w:t>
      </w:r>
      <w:r w:rsidR="00A32668" w:rsidRPr="003635E9">
        <w:t xml:space="preserve"> </w:t>
      </w:r>
      <w:r>
        <w:t xml:space="preserve">budget permit and operate the </w:t>
      </w:r>
      <w:r w:rsidR="00A32668" w:rsidRPr="003635E9">
        <w:t>CO</w:t>
      </w:r>
      <w:r w:rsidR="00A32668" w:rsidRPr="00A32668">
        <w:rPr>
          <w:vertAlign w:val="subscript"/>
        </w:rPr>
        <w:t>2</w:t>
      </w:r>
      <w:r w:rsidR="00A32668" w:rsidRPr="003635E9">
        <w:t xml:space="preserve"> </w:t>
      </w:r>
      <w:r>
        <w:t xml:space="preserve">budget source and the </w:t>
      </w:r>
      <w:r w:rsidR="00A32668" w:rsidRPr="003635E9">
        <w:t>CO</w:t>
      </w:r>
      <w:r w:rsidR="00A32668" w:rsidRPr="00A32668">
        <w:rPr>
          <w:vertAlign w:val="subscript"/>
        </w:rPr>
        <w:t>2</w:t>
      </w:r>
      <w:r w:rsidR="00A32668" w:rsidRPr="003635E9">
        <w:t xml:space="preserve"> </w:t>
      </w:r>
      <w:r>
        <w:t xml:space="preserve">budget unit at the source in compliance with such </w:t>
      </w:r>
      <w:r w:rsidR="00A32668" w:rsidRPr="003635E9">
        <w:t>CO</w:t>
      </w:r>
      <w:r w:rsidR="00A32668" w:rsidRPr="00A32668">
        <w:rPr>
          <w:vertAlign w:val="subscript"/>
        </w:rPr>
        <w:t>2</w:t>
      </w:r>
      <w:r w:rsidR="00A32668" w:rsidRPr="003635E9">
        <w:t xml:space="preserve"> </w:t>
      </w:r>
      <w:r>
        <w:t>budget permit.</w:t>
      </w:r>
    </w:p>
    <w:p w14:paraId="45024B0D" w14:textId="77777777" w:rsidR="0045454D" w:rsidRDefault="0045454D" w:rsidP="0045454D"/>
    <w:p w14:paraId="04060FB0" w14:textId="75E51033" w:rsidR="0045454D" w:rsidRDefault="0045454D" w:rsidP="0045454D">
      <w:r w:rsidRPr="00C355AC">
        <w:rPr>
          <w:u w:val="single"/>
        </w:rPr>
        <w:t>Monitoring requirements shall be as follows</w:t>
      </w:r>
      <w:r w:rsidR="001E68F6">
        <w:t>:</w:t>
      </w:r>
    </w:p>
    <w:p w14:paraId="77947DDE" w14:textId="77777777" w:rsidR="0045454D" w:rsidRDefault="0045454D" w:rsidP="0045454D">
      <w:r>
        <w:t xml:space="preserve">1. The owners and operators and, to the extent applicable, the </w:t>
      </w:r>
      <w:r w:rsidR="00A32668" w:rsidRPr="003635E9">
        <w:t>CO</w:t>
      </w:r>
      <w:r w:rsidR="00A32668" w:rsidRPr="00A32668">
        <w:rPr>
          <w:vertAlign w:val="subscript"/>
        </w:rPr>
        <w:t>2</w:t>
      </w:r>
      <w:r w:rsidR="00A32668" w:rsidRPr="003635E9">
        <w:t xml:space="preserve"> </w:t>
      </w:r>
      <w:r>
        <w:t xml:space="preserve">authorized account representative of each </w:t>
      </w:r>
      <w:r w:rsidR="00A32668" w:rsidRPr="003635E9">
        <w:t>CO</w:t>
      </w:r>
      <w:r w:rsidR="00A32668" w:rsidRPr="00A32668">
        <w:rPr>
          <w:vertAlign w:val="subscript"/>
        </w:rPr>
        <w:t>2</w:t>
      </w:r>
      <w:r w:rsidR="00A32668" w:rsidRPr="003635E9">
        <w:t xml:space="preserve"> </w:t>
      </w:r>
      <w:r>
        <w:t>budget source and each CO</w:t>
      </w:r>
      <w:r w:rsidRPr="00AB6441">
        <w:rPr>
          <w:vertAlign w:val="subscript"/>
        </w:rPr>
        <w:t>2</w:t>
      </w:r>
      <w:r>
        <w:t xml:space="preserve"> budget unit at the source shall comply with the monitoring requirements of Article 8 (9VAC5-140-6330 et seq.).</w:t>
      </w:r>
    </w:p>
    <w:p w14:paraId="16ADB0ED" w14:textId="6FAB5C3A" w:rsidR="0045454D" w:rsidRDefault="0045454D" w:rsidP="0045454D">
      <w:r>
        <w:t xml:space="preserve">2. The emissions measurements recorded and reported in accordance with Article 8 (9VAC5-140-6330 et seq.) shall be used to determine compliance by the unit with the </w:t>
      </w:r>
      <w:r w:rsidR="00A32668" w:rsidRPr="003635E9">
        <w:t>CO</w:t>
      </w:r>
      <w:r w:rsidR="00A32668" w:rsidRPr="00A32668">
        <w:rPr>
          <w:vertAlign w:val="subscript"/>
        </w:rPr>
        <w:t>2</w:t>
      </w:r>
      <w:r w:rsidR="00A32668" w:rsidRPr="003635E9">
        <w:t xml:space="preserve"> </w:t>
      </w:r>
      <w:r>
        <w:t xml:space="preserve">requirements under </w:t>
      </w:r>
      <w:r w:rsidR="00265258">
        <w:t>9VAC5-140-6050C</w:t>
      </w:r>
      <w:r>
        <w:t>.</w:t>
      </w:r>
    </w:p>
    <w:p w14:paraId="20693091" w14:textId="77777777" w:rsidR="0045454D" w:rsidRDefault="0045454D" w:rsidP="0045454D"/>
    <w:p w14:paraId="7E78F48D" w14:textId="1BFE05E6" w:rsidR="0045454D" w:rsidRDefault="00A32668" w:rsidP="0045454D">
      <w:r w:rsidRPr="00C355AC">
        <w:rPr>
          <w:u w:val="single"/>
        </w:rPr>
        <w:t>CO</w:t>
      </w:r>
      <w:r w:rsidRPr="00C355AC">
        <w:rPr>
          <w:u w:val="single"/>
          <w:vertAlign w:val="subscript"/>
        </w:rPr>
        <w:t>2</w:t>
      </w:r>
      <w:r w:rsidRPr="00C355AC">
        <w:rPr>
          <w:u w:val="single"/>
        </w:rPr>
        <w:t xml:space="preserve"> </w:t>
      </w:r>
      <w:r w:rsidR="0045454D" w:rsidRPr="00C355AC">
        <w:rPr>
          <w:u w:val="single"/>
        </w:rPr>
        <w:t>requirements shall be as follows</w:t>
      </w:r>
      <w:r w:rsidR="001E68F6">
        <w:t>:</w:t>
      </w:r>
    </w:p>
    <w:p w14:paraId="014AC92D" w14:textId="7B350086" w:rsidR="0045454D" w:rsidRDefault="0045454D" w:rsidP="0045454D">
      <w:r>
        <w:t xml:space="preserve">1. The owners and operators of each </w:t>
      </w:r>
      <w:r w:rsidR="00A32668" w:rsidRPr="003635E9">
        <w:t>CO</w:t>
      </w:r>
      <w:r w:rsidR="00A32668" w:rsidRPr="00A32668">
        <w:rPr>
          <w:vertAlign w:val="subscript"/>
        </w:rPr>
        <w:t>2</w:t>
      </w:r>
      <w:r w:rsidR="00A32668" w:rsidRPr="003635E9">
        <w:t xml:space="preserve"> </w:t>
      </w:r>
      <w:r>
        <w:t xml:space="preserve">budget source and each </w:t>
      </w:r>
      <w:r w:rsidR="00A32668" w:rsidRPr="003635E9">
        <w:t>CO</w:t>
      </w:r>
      <w:r w:rsidR="00A32668" w:rsidRPr="00A32668">
        <w:rPr>
          <w:vertAlign w:val="subscript"/>
        </w:rPr>
        <w:t>2</w:t>
      </w:r>
      <w:r w:rsidR="00A32668" w:rsidRPr="003635E9">
        <w:t xml:space="preserve"> </w:t>
      </w:r>
      <w:r>
        <w:t xml:space="preserve">budget unit at the source shall hold </w:t>
      </w:r>
      <w:r w:rsidR="00A32668" w:rsidRPr="003635E9">
        <w:t>CO</w:t>
      </w:r>
      <w:r w:rsidR="00A32668" w:rsidRPr="00A32668">
        <w:rPr>
          <w:vertAlign w:val="subscript"/>
        </w:rPr>
        <w:t>2</w:t>
      </w:r>
      <w:r w:rsidR="00A32668" w:rsidRPr="003635E9">
        <w:t xml:space="preserve"> </w:t>
      </w:r>
      <w:r>
        <w:t xml:space="preserve">allowances available for compliance deductions under 9VAC5-140-6260, as of the </w:t>
      </w:r>
      <w:r w:rsidR="00A32668" w:rsidRPr="003635E9">
        <w:t>CO</w:t>
      </w:r>
      <w:r w:rsidR="00A32668" w:rsidRPr="00A32668">
        <w:rPr>
          <w:vertAlign w:val="subscript"/>
        </w:rPr>
        <w:t>2</w:t>
      </w:r>
      <w:r w:rsidR="00A32668" w:rsidRPr="003635E9">
        <w:t xml:space="preserve"> </w:t>
      </w:r>
      <w:r>
        <w:t xml:space="preserve">allowance transfer deadline, in the source's compliance account in an amount not less than the total </w:t>
      </w:r>
      <w:r w:rsidR="00A32668" w:rsidRPr="003635E9">
        <w:t>CO</w:t>
      </w:r>
      <w:r w:rsidR="00A32668" w:rsidRPr="00A32668">
        <w:rPr>
          <w:vertAlign w:val="subscript"/>
        </w:rPr>
        <w:t>2</w:t>
      </w:r>
      <w:r w:rsidR="00A32668" w:rsidRPr="003635E9">
        <w:t xml:space="preserve"> </w:t>
      </w:r>
      <w:r>
        <w:t xml:space="preserve">emissions that have been generated as a result of combusting fossil fuel for an interim control period or control period from all </w:t>
      </w:r>
      <w:r w:rsidR="00A32668" w:rsidRPr="003635E9">
        <w:t>CO</w:t>
      </w:r>
      <w:r w:rsidR="00A32668" w:rsidRPr="00A32668">
        <w:rPr>
          <w:vertAlign w:val="subscript"/>
        </w:rPr>
        <w:t>2</w:t>
      </w:r>
      <w:r w:rsidR="00A32668" w:rsidRPr="003635E9">
        <w:t xml:space="preserve"> </w:t>
      </w:r>
      <w:r>
        <w:t xml:space="preserve">budget units at the source, less the </w:t>
      </w:r>
      <w:r w:rsidR="00A32668" w:rsidRPr="003635E9">
        <w:t>CO</w:t>
      </w:r>
      <w:r w:rsidR="00A32668" w:rsidRPr="00A32668">
        <w:rPr>
          <w:vertAlign w:val="subscript"/>
        </w:rPr>
        <w:t>2</w:t>
      </w:r>
      <w:r w:rsidR="00A32668" w:rsidRPr="003635E9">
        <w:t xml:space="preserve"> </w:t>
      </w:r>
      <w:r>
        <w:t xml:space="preserve">allowances deducted to meet the requirements of </w:t>
      </w:r>
      <w:r w:rsidR="00265258">
        <w:t>9VAC5-140-6050C.2</w:t>
      </w:r>
      <w:r>
        <w:t>, with respect to the previous two interim control periods as determined in accordance with Article 6 (9VAC5-140-6220 et seq.) and Article 8 (9VAC5-140-6330 et seq.).</w:t>
      </w:r>
    </w:p>
    <w:p w14:paraId="2D1471E1" w14:textId="77777777" w:rsidR="0045454D" w:rsidRDefault="0045454D" w:rsidP="0045454D">
      <w:r>
        <w:t xml:space="preserve">2. The owners and operators of each </w:t>
      </w:r>
      <w:r w:rsidR="00A32668" w:rsidRPr="003635E9">
        <w:t>CO</w:t>
      </w:r>
      <w:r w:rsidR="00A32668" w:rsidRPr="00A32668">
        <w:rPr>
          <w:vertAlign w:val="subscript"/>
        </w:rPr>
        <w:t>2</w:t>
      </w:r>
      <w:r w:rsidR="00A32668" w:rsidRPr="003635E9">
        <w:t xml:space="preserve"> </w:t>
      </w:r>
      <w:r>
        <w:t xml:space="preserve">budget source and each </w:t>
      </w:r>
      <w:r w:rsidR="00A32668" w:rsidRPr="003635E9">
        <w:t>CO</w:t>
      </w:r>
      <w:r w:rsidR="00A32668" w:rsidRPr="00A32668">
        <w:rPr>
          <w:vertAlign w:val="subscript"/>
        </w:rPr>
        <w:t>2</w:t>
      </w:r>
      <w:r w:rsidR="00A32668" w:rsidRPr="003635E9">
        <w:t xml:space="preserve"> </w:t>
      </w:r>
      <w:r>
        <w:t xml:space="preserve">budget unit at the source shall hold </w:t>
      </w:r>
      <w:r w:rsidR="00A32668" w:rsidRPr="003635E9">
        <w:t>CO</w:t>
      </w:r>
      <w:r w:rsidR="00A32668" w:rsidRPr="00A32668">
        <w:rPr>
          <w:vertAlign w:val="subscript"/>
        </w:rPr>
        <w:t>2</w:t>
      </w:r>
      <w:r w:rsidR="00A32668" w:rsidRPr="003635E9">
        <w:t xml:space="preserve"> </w:t>
      </w:r>
      <w:r>
        <w:t xml:space="preserve">allowances available for compliance deductions under 9VAC5-140-6260, as of the </w:t>
      </w:r>
      <w:r w:rsidR="00A32668" w:rsidRPr="003635E9">
        <w:t>CO</w:t>
      </w:r>
      <w:r w:rsidR="00A32668" w:rsidRPr="00A32668">
        <w:rPr>
          <w:vertAlign w:val="subscript"/>
        </w:rPr>
        <w:t>2</w:t>
      </w:r>
      <w:r w:rsidR="00A32668" w:rsidRPr="003635E9">
        <w:t xml:space="preserve"> </w:t>
      </w:r>
      <w:r>
        <w:t xml:space="preserve">allowance transfer deadline, in the source's compliance account in an amount not less than the total </w:t>
      </w:r>
      <w:r w:rsidR="00A32668" w:rsidRPr="003635E9">
        <w:t>CO</w:t>
      </w:r>
      <w:r w:rsidR="00A32668" w:rsidRPr="00A32668">
        <w:rPr>
          <w:vertAlign w:val="subscript"/>
        </w:rPr>
        <w:t>2</w:t>
      </w:r>
      <w:r w:rsidR="00A32668" w:rsidRPr="003635E9">
        <w:t xml:space="preserve"> </w:t>
      </w:r>
      <w:r>
        <w:t xml:space="preserve">emissions that have been generated as a result of combusting fossil fuel for the interim control period from all </w:t>
      </w:r>
      <w:r w:rsidR="00A32668" w:rsidRPr="003635E9">
        <w:t>CO</w:t>
      </w:r>
      <w:r w:rsidR="00A32668" w:rsidRPr="00A32668">
        <w:rPr>
          <w:vertAlign w:val="subscript"/>
        </w:rPr>
        <w:t>2</w:t>
      </w:r>
      <w:r w:rsidR="00A32668" w:rsidRPr="003635E9">
        <w:t xml:space="preserve"> </w:t>
      </w:r>
      <w:r>
        <w:t>budget units at the source multiplied by 0.50, as determined in accordance with Article 6 (9VAC5-140-6220 et seq.) and Article 8 (9VAC5-140-6330 et seq.).</w:t>
      </w:r>
    </w:p>
    <w:p w14:paraId="046196DD" w14:textId="77777777" w:rsidR="0045454D" w:rsidRDefault="0045454D" w:rsidP="0045454D">
      <w:r>
        <w:t xml:space="preserve">3. Each ton of </w:t>
      </w:r>
      <w:r w:rsidR="00A32668" w:rsidRPr="003635E9">
        <w:t>CO</w:t>
      </w:r>
      <w:r w:rsidR="00A32668" w:rsidRPr="00A32668">
        <w:rPr>
          <w:vertAlign w:val="subscript"/>
        </w:rPr>
        <w:t>2</w:t>
      </w:r>
      <w:r w:rsidR="00A32668" w:rsidRPr="003635E9">
        <w:t xml:space="preserve"> </w:t>
      </w:r>
      <w:r>
        <w:t xml:space="preserve">emitted in excess of the </w:t>
      </w:r>
      <w:r w:rsidR="00A32668" w:rsidRPr="003635E9">
        <w:t>CO</w:t>
      </w:r>
      <w:r w:rsidR="00A32668" w:rsidRPr="00A32668">
        <w:rPr>
          <w:vertAlign w:val="subscript"/>
        </w:rPr>
        <w:t>2</w:t>
      </w:r>
      <w:r w:rsidR="00A32668" w:rsidRPr="003635E9">
        <w:t xml:space="preserve"> </w:t>
      </w:r>
      <w:r>
        <w:t>budget emissions limitation for a control period shall constitute a separate violation</w:t>
      </w:r>
      <w:r w:rsidR="000D2E44">
        <w:t xml:space="preserve"> of</w:t>
      </w:r>
      <w:r>
        <w:t xml:space="preserve"> </w:t>
      </w:r>
      <w:r w:rsidR="00AF50A2">
        <w:t>Par</w:t>
      </w:r>
      <w:r w:rsidR="000D2E44">
        <w:t>t VII of Chapter 140</w:t>
      </w:r>
      <w:r>
        <w:t xml:space="preserve"> and applicable state law.</w:t>
      </w:r>
    </w:p>
    <w:p w14:paraId="2EE55E43" w14:textId="77777777" w:rsidR="0045454D" w:rsidRDefault="0045454D" w:rsidP="0045454D">
      <w:r>
        <w:t xml:space="preserve">4. Each ton of excess interim emissions shall constitute a separate violation of </w:t>
      </w:r>
      <w:r w:rsidR="000D2E44">
        <w:t xml:space="preserve">Part VII of Chapter 140 </w:t>
      </w:r>
      <w:r>
        <w:t>and applicable state law.</w:t>
      </w:r>
    </w:p>
    <w:p w14:paraId="305DF47D" w14:textId="36D49134" w:rsidR="0045454D" w:rsidRDefault="0045454D" w:rsidP="0045454D">
      <w:r>
        <w:t xml:space="preserve">5. A </w:t>
      </w:r>
      <w:r w:rsidR="00A32668" w:rsidRPr="003635E9">
        <w:t>CO</w:t>
      </w:r>
      <w:r w:rsidR="00A32668" w:rsidRPr="00A32668">
        <w:rPr>
          <w:vertAlign w:val="subscript"/>
        </w:rPr>
        <w:t>2</w:t>
      </w:r>
      <w:r w:rsidR="00A32668" w:rsidRPr="003635E9">
        <w:t xml:space="preserve"> </w:t>
      </w:r>
      <w:r>
        <w:t xml:space="preserve">budget unit shall be subject to the requirements </w:t>
      </w:r>
      <w:r w:rsidR="00AB6441">
        <w:t xml:space="preserve">of </w:t>
      </w:r>
      <w:r w:rsidR="00265258">
        <w:t>9VAC5-140-6050C</w:t>
      </w:r>
      <w:r>
        <w:t xml:space="preserve"> starting on the later of January 1, 2021, or the date on which the unit commences operation.</w:t>
      </w:r>
    </w:p>
    <w:p w14:paraId="1F792DD3" w14:textId="009F3D9B" w:rsidR="0045454D" w:rsidRDefault="0045454D" w:rsidP="0045454D">
      <w:r>
        <w:t xml:space="preserve">6. </w:t>
      </w:r>
      <w:r w:rsidR="00A32668" w:rsidRPr="003635E9">
        <w:t>CO</w:t>
      </w:r>
      <w:r w:rsidR="00A32668" w:rsidRPr="00A32668">
        <w:rPr>
          <w:vertAlign w:val="subscript"/>
        </w:rPr>
        <w:t>2</w:t>
      </w:r>
      <w:r w:rsidR="00A32668" w:rsidRPr="003635E9">
        <w:t xml:space="preserve"> </w:t>
      </w:r>
      <w:r>
        <w:t xml:space="preserve">allowances shall be held in, deducted from, or transferred among </w:t>
      </w:r>
      <w:r w:rsidR="00AB6441">
        <w:rPr>
          <w:sz w:val="23"/>
          <w:szCs w:val="23"/>
        </w:rPr>
        <w:t>CO2 Allowance Tracking System (</w:t>
      </w:r>
      <w:r>
        <w:t>COATS</w:t>
      </w:r>
      <w:r w:rsidR="00AB6441">
        <w:t>)</w:t>
      </w:r>
      <w:r>
        <w:t xml:space="preserve"> accounts in accordance with Article 5 (9VAC5-140-6190 et seq.), Article 6 (9VAC5-140-6220 et seq.), and Article 7 (9VAC5-140-6300 et seq.).</w:t>
      </w:r>
    </w:p>
    <w:p w14:paraId="06DFC1A6" w14:textId="3020606F" w:rsidR="0045454D" w:rsidRDefault="0045454D" w:rsidP="0045454D">
      <w:r>
        <w:t xml:space="preserve">7. A </w:t>
      </w:r>
      <w:r w:rsidR="00A32668" w:rsidRPr="003635E9">
        <w:t>CO</w:t>
      </w:r>
      <w:r w:rsidR="00A32668" w:rsidRPr="00A32668">
        <w:rPr>
          <w:vertAlign w:val="subscript"/>
        </w:rPr>
        <w:t>2</w:t>
      </w:r>
      <w:r w:rsidR="00A32668" w:rsidRPr="003635E9">
        <w:t xml:space="preserve"> </w:t>
      </w:r>
      <w:r>
        <w:t xml:space="preserve">allowance shall not be deducted, to comply with the requirements </w:t>
      </w:r>
      <w:r w:rsidR="00AB6441">
        <w:t xml:space="preserve">of </w:t>
      </w:r>
      <w:r w:rsidR="00265258">
        <w:t>9VAC5-140-6050C</w:t>
      </w:r>
      <w:r>
        <w:t xml:space="preserve">, for a control period that ends prior to the year for which the </w:t>
      </w:r>
      <w:r w:rsidR="00A32668" w:rsidRPr="003635E9">
        <w:t>CO</w:t>
      </w:r>
      <w:r w:rsidR="00A32668" w:rsidRPr="00A32668">
        <w:rPr>
          <w:vertAlign w:val="subscript"/>
        </w:rPr>
        <w:t>2</w:t>
      </w:r>
      <w:r w:rsidR="00A32668" w:rsidRPr="003635E9">
        <w:t xml:space="preserve"> </w:t>
      </w:r>
      <w:r>
        <w:t>allowance was allocated.</w:t>
      </w:r>
    </w:p>
    <w:p w14:paraId="5114ABCC" w14:textId="77777777" w:rsidR="0045454D" w:rsidRDefault="0045454D" w:rsidP="0045454D">
      <w:r>
        <w:t xml:space="preserve">8. A </w:t>
      </w:r>
      <w:r w:rsidR="00A32668" w:rsidRPr="003635E9">
        <w:t>CO</w:t>
      </w:r>
      <w:r w:rsidR="00A32668" w:rsidRPr="00A32668">
        <w:rPr>
          <w:vertAlign w:val="subscript"/>
        </w:rPr>
        <w:t>2</w:t>
      </w:r>
      <w:r w:rsidR="00A32668" w:rsidRPr="003635E9">
        <w:t xml:space="preserve"> </w:t>
      </w:r>
      <w:r>
        <w:t xml:space="preserve">allowance under the </w:t>
      </w:r>
      <w:r w:rsidR="00A32668" w:rsidRPr="003635E9">
        <w:t>CO</w:t>
      </w:r>
      <w:r w:rsidR="00A32668" w:rsidRPr="00A32668">
        <w:rPr>
          <w:vertAlign w:val="subscript"/>
        </w:rPr>
        <w:t>2</w:t>
      </w:r>
      <w:r w:rsidR="00A32668" w:rsidRPr="003635E9">
        <w:t xml:space="preserve"> </w:t>
      </w:r>
      <w:r>
        <w:t xml:space="preserve">Budget Trading Program is a limited authorization by the department to emit one ton of </w:t>
      </w:r>
      <w:r w:rsidR="00A32668" w:rsidRPr="003635E9">
        <w:t>CO</w:t>
      </w:r>
      <w:r w:rsidR="00A32668" w:rsidRPr="00A32668">
        <w:rPr>
          <w:vertAlign w:val="subscript"/>
        </w:rPr>
        <w:t>2</w:t>
      </w:r>
      <w:r w:rsidR="00A32668" w:rsidRPr="003635E9">
        <w:t xml:space="preserve"> </w:t>
      </w:r>
      <w:r>
        <w:t xml:space="preserve">in accordance with the </w:t>
      </w:r>
      <w:r w:rsidR="00A32668" w:rsidRPr="003635E9">
        <w:t>CO</w:t>
      </w:r>
      <w:r w:rsidR="00A32668" w:rsidRPr="00A32668">
        <w:rPr>
          <w:vertAlign w:val="subscript"/>
        </w:rPr>
        <w:t>2</w:t>
      </w:r>
      <w:r w:rsidR="00A32668" w:rsidRPr="003635E9">
        <w:t xml:space="preserve"> </w:t>
      </w:r>
      <w:r>
        <w:t xml:space="preserve">Budget Trading Program. No provision of the </w:t>
      </w:r>
      <w:r w:rsidR="00A32668" w:rsidRPr="003635E9">
        <w:t>CO</w:t>
      </w:r>
      <w:r w:rsidR="00A32668" w:rsidRPr="00A32668">
        <w:rPr>
          <w:vertAlign w:val="subscript"/>
        </w:rPr>
        <w:t>2</w:t>
      </w:r>
      <w:r w:rsidR="00A32668" w:rsidRPr="003635E9">
        <w:t xml:space="preserve"> </w:t>
      </w:r>
      <w:r>
        <w:t xml:space="preserve">Budget Trading Program, the </w:t>
      </w:r>
      <w:r w:rsidR="00A32668" w:rsidRPr="003635E9">
        <w:t>CO</w:t>
      </w:r>
      <w:r w:rsidR="00A32668" w:rsidRPr="00A32668">
        <w:rPr>
          <w:vertAlign w:val="subscript"/>
        </w:rPr>
        <w:t>2</w:t>
      </w:r>
      <w:r w:rsidR="00A32668" w:rsidRPr="003635E9">
        <w:t xml:space="preserve"> </w:t>
      </w:r>
      <w:r>
        <w:t xml:space="preserve">budget permit application, or the </w:t>
      </w:r>
      <w:r w:rsidR="00A32668" w:rsidRPr="003635E9">
        <w:t>CO</w:t>
      </w:r>
      <w:r w:rsidR="00A32668" w:rsidRPr="00A32668">
        <w:rPr>
          <w:vertAlign w:val="subscript"/>
        </w:rPr>
        <w:t>2</w:t>
      </w:r>
      <w:r w:rsidR="00A32668" w:rsidRPr="003635E9">
        <w:t xml:space="preserve"> </w:t>
      </w:r>
      <w:r>
        <w:t>budget permit or any provision of law shall be construed to limit the authority of the department or a participating state to terminate or limit such authorization.</w:t>
      </w:r>
    </w:p>
    <w:p w14:paraId="210F92EE" w14:textId="77777777" w:rsidR="0045454D" w:rsidRDefault="0045454D" w:rsidP="0045454D">
      <w:r>
        <w:t xml:space="preserve">9. A </w:t>
      </w:r>
      <w:r w:rsidR="00A32668" w:rsidRPr="003635E9">
        <w:t>CO</w:t>
      </w:r>
      <w:r w:rsidR="00A32668" w:rsidRPr="00A32668">
        <w:rPr>
          <w:vertAlign w:val="subscript"/>
        </w:rPr>
        <w:t>2</w:t>
      </w:r>
      <w:r w:rsidR="00A32668" w:rsidRPr="003635E9">
        <w:t xml:space="preserve"> </w:t>
      </w:r>
      <w:r>
        <w:t xml:space="preserve">allowance under the </w:t>
      </w:r>
      <w:r w:rsidR="00A32668" w:rsidRPr="003635E9">
        <w:t>CO</w:t>
      </w:r>
      <w:r w:rsidR="00A32668" w:rsidRPr="00A32668">
        <w:rPr>
          <w:vertAlign w:val="subscript"/>
        </w:rPr>
        <w:t>2</w:t>
      </w:r>
      <w:r w:rsidR="00A32668" w:rsidRPr="003635E9">
        <w:t xml:space="preserve"> </w:t>
      </w:r>
      <w:r>
        <w:t>Budget Trading Program does not constitute a property right.</w:t>
      </w:r>
    </w:p>
    <w:p w14:paraId="0F34AA17" w14:textId="77777777" w:rsidR="0045454D" w:rsidRDefault="00DA7B44" w:rsidP="0045454D">
      <w:r>
        <w:t xml:space="preserve">10. </w:t>
      </w:r>
      <w:r w:rsidR="0045454D">
        <w:t xml:space="preserve">The owners and operators of a </w:t>
      </w:r>
      <w:r w:rsidR="00A32668" w:rsidRPr="003635E9">
        <w:t>CO</w:t>
      </w:r>
      <w:r w:rsidR="00A32668" w:rsidRPr="00A32668">
        <w:rPr>
          <w:vertAlign w:val="subscript"/>
        </w:rPr>
        <w:t>2</w:t>
      </w:r>
      <w:r w:rsidR="00A32668" w:rsidRPr="003635E9">
        <w:t xml:space="preserve"> </w:t>
      </w:r>
      <w:r w:rsidR="0045454D">
        <w:t>budget source that has excess emissions in a control period shall:</w:t>
      </w:r>
    </w:p>
    <w:p w14:paraId="726DF311" w14:textId="77777777" w:rsidR="0045454D" w:rsidRDefault="0045454D" w:rsidP="0045454D">
      <w:r>
        <w:t xml:space="preserve">1. Forfeit the </w:t>
      </w:r>
      <w:r w:rsidR="00A32668" w:rsidRPr="003635E9">
        <w:t>CO</w:t>
      </w:r>
      <w:r w:rsidR="00A32668" w:rsidRPr="00A32668">
        <w:rPr>
          <w:vertAlign w:val="subscript"/>
        </w:rPr>
        <w:t>2</w:t>
      </w:r>
      <w:r w:rsidR="00A32668" w:rsidRPr="003635E9">
        <w:t xml:space="preserve"> </w:t>
      </w:r>
      <w:r>
        <w:t>allowances required for deduction under 9VAC5-140-6260 D 1; and</w:t>
      </w:r>
    </w:p>
    <w:p w14:paraId="7F12D4A6" w14:textId="77777777" w:rsidR="0045454D" w:rsidRDefault="0045454D" w:rsidP="0045454D">
      <w:r>
        <w:t>2. Pay any fine, penalty, or assessment or comply with any other remedy imposed under 9VAC5-140-6260 D 2.</w:t>
      </w:r>
    </w:p>
    <w:p w14:paraId="1074DFB7" w14:textId="77777777" w:rsidR="0045454D" w:rsidRDefault="0045454D" w:rsidP="0045454D"/>
    <w:p w14:paraId="6EB7293F" w14:textId="5565FE7F" w:rsidR="0045454D" w:rsidRDefault="0045454D" w:rsidP="0045454D">
      <w:r w:rsidRPr="00C355AC">
        <w:rPr>
          <w:u w:val="single"/>
        </w:rPr>
        <w:t>Recordkeeping and reporting requirements shall be as follows</w:t>
      </w:r>
      <w:r>
        <w:t>:</w:t>
      </w:r>
    </w:p>
    <w:p w14:paraId="03B657D1" w14:textId="77777777" w:rsidR="0045454D" w:rsidRDefault="0045454D" w:rsidP="0045454D">
      <w:r>
        <w:t xml:space="preserve">1. Unless otherwise provided, the owners and operators of the </w:t>
      </w:r>
      <w:r w:rsidR="00A32668" w:rsidRPr="003635E9">
        <w:t>CO</w:t>
      </w:r>
      <w:r w:rsidR="00A32668" w:rsidRPr="00A32668">
        <w:rPr>
          <w:vertAlign w:val="subscript"/>
        </w:rPr>
        <w:t>2</w:t>
      </w:r>
      <w:r w:rsidR="00A32668" w:rsidRPr="003635E9">
        <w:t xml:space="preserve"> </w:t>
      </w:r>
      <w:r>
        <w:t xml:space="preserve">budget source and each </w:t>
      </w:r>
      <w:r w:rsidR="00A32668" w:rsidRPr="003635E9">
        <w:t>CO</w:t>
      </w:r>
      <w:r w:rsidR="00A32668" w:rsidRPr="00A32668">
        <w:rPr>
          <w:vertAlign w:val="subscript"/>
        </w:rPr>
        <w:t>2</w:t>
      </w:r>
      <w:r w:rsidR="00A32668" w:rsidRPr="003635E9">
        <w:t xml:space="preserve"> </w:t>
      </w:r>
      <w:r>
        <w:t>budget unit at the source shall keep on site at the source each of the following documents for a period of 10 years from the date the document is created. This period may be extended for cause, at any time prior to the end of 10 years, in writing by the department.</w:t>
      </w:r>
    </w:p>
    <w:p w14:paraId="05539F35" w14:textId="77777777" w:rsidR="0045454D" w:rsidRDefault="0045454D" w:rsidP="0045454D">
      <w:r>
        <w:t xml:space="preserve">a. The account certificate of representation for the </w:t>
      </w:r>
      <w:r w:rsidR="00A32668" w:rsidRPr="003635E9">
        <w:t>CO</w:t>
      </w:r>
      <w:r w:rsidR="00A32668" w:rsidRPr="00A32668">
        <w:rPr>
          <w:vertAlign w:val="subscript"/>
        </w:rPr>
        <w:t>2</w:t>
      </w:r>
      <w:r w:rsidR="00A32668" w:rsidRPr="003635E9">
        <w:t xml:space="preserve"> </w:t>
      </w:r>
      <w:r>
        <w:t xml:space="preserve">authorized account representative for the source and each </w:t>
      </w:r>
      <w:r w:rsidR="00A32668" w:rsidRPr="003635E9">
        <w:t>CO</w:t>
      </w:r>
      <w:r w:rsidR="00A32668" w:rsidRPr="00A32668">
        <w:rPr>
          <w:vertAlign w:val="subscript"/>
        </w:rPr>
        <w:t>2</w:t>
      </w:r>
      <w:r w:rsidR="00A32668" w:rsidRPr="003635E9">
        <w:t xml:space="preserve"> </w:t>
      </w:r>
      <w:r>
        <w:t xml:space="preserve">budget unit at the source and all documents that demonstrate the truth of the statements in the account certificate of representation, in accordance with 9VAC5-140-6110, provided that the certificate and documents shall be retained on site at the source beyond such 10-year period until such documents are superseded because of the submission of a new account certificate of representation changing the </w:t>
      </w:r>
      <w:r w:rsidR="00A32668" w:rsidRPr="003635E9">
        <w:t>CO</w:t>
      </w:r>
      <w:r w:rsidR="00A32668" w:rsidRPr="00A32668">
        <w:rPr>
          <w:vertAlign w:val="subscript"/>
        </w:rPr>
        <w:t>2</w:t>
      </w:r>
      <w:r w:rsidR="00A32668" w:rsidRPr="003635E9">
        <w:t xml:space="preserve"> </w:t>
      </w:r>
      <w:r>
        <w:t>authorized account representative.</w:t>
      </w:r>
    </w:p>
    <w:p w14:paraId="740F6328" w14:textId="77777777" w:rsidR="0045454D" w:rsidRDefault="0045454D" w:rsidP="0045454D">
      <w:r>
        <w:t>b. All emissions monitoring information, in accordance with Article 8 (9VAC5-140-6330 et seq.) and 40 CFR 75.57.</w:t>
      </w:r>
    </w:p>
    <w:p w14:paraId="0D5BEA7F" w14:textId="77777777" w:rsidR="0045454D" w:rsidRDefault="0045454D" w:rsidP="0045454D">
      <w:r>
        <w:t xml:space="preserve">c. Copies of all reports, compliance certifications, and other submissions and all records made or required under the </w:t>
      </w:r>
      <w:r w:rsidR="00A32668" w:rsidRPr="003635E9">
        <w:t>CO</w:t>
      </w:r>
      <w:r w:rsidR="00A32668" w:rsidRPr="00A32668">
        <w:rPr>
          <w:vertAlign w:val="subscript"/>
        </w:rPr>
        <w:t>2</w:t>
      </w:r>
      <w:r w:rsidR="00A32668" w:rsidRPr="003635E9">
        <w:t xml:space="preserve"> </w:t>
      </w:r>
      <w:r>
        <w:t>Budget Trading Program.</w:t>
      </w:r>
    </w:p>
    <w:p w14:paraId="1A3FD272" w14:textId="77777777" w:rsidR="0045454D" w:rsidRDefault="0045454D" w:rsidP="0045454D">
      <w:r>
        <w:t xml:space="preserve">d. Copies of all documents used to complete a </w:t>
      </w:r>
      <w:r w:rsidR="00A32668" w:rsidRPr="003635E9">
        <w:t>CO</w:t>
      </w:r>
      <w:r w:rsidR="00A32668" w:rsidRPr="00A32668">
        <w:rPr>
          <w:vertAlign w:val="subscript"/>
        </w:rPr>
        <w:t>2</w:t>
      </w:r>
      <w:r w:rsidR="00A32668" w:rsidRPr="003635E9">
        <w:t xml:space="preserve"> </w:t>
      </w:r>
      <w:r>
        <w:t xml:space="preserve">budget permit application and any other submission under the </w:t>
      </w:r>
      <w:r w:rsidR="00A32668" w:rsidRPr="003635E9">
        <w:t>CO</w:t>
      </w:r>
      <w:r w:rsidR="00A32668" w:rsidRPr="00A32668">
        <w:rPr>
          <w:vertAlign w:val="subscript"/>
        </w:rPr>
        <w:t>2</w:t>
      </w:r>
      <w:r w:rsidR="00A32668" w:rsidRPr="003635E9">
        <w:t xml:space="preserve"> </w:t>
      </w:r>
      <w:r>
        <w:t xml:space="preserve">Budget Trading Program or to demonstrate compliance with the requirements of the </w:t>
      </w:r>
      <w:r w:rsidR="00A32668" w:rsidRPr="003635E9">
        <w:t>CO</w:t>
      </w:r>
      <w:r w:rsidR="00A32668" w:rsidRPr="00A32668">
        <w:rPr>
          <w:vertAlign w:val="subscript"/>
        </w:rPr>
        <w:t>2</w:t>
      </w:r>
      <w:r w:rsidR="00A32668" w:rsidRPr="003635E9">
        <w:t xml:space="preserve"> </w:t>
      </w:r>
      <w:r>
        <w:t>Budget Trading Program.</w:t>
      </w:r>
    </w:p>
    <w:p w14:paraId="1D791DC2" w14:textId="77777777" w:rsidR="0045454D" w:rsidRDefault="0045454D" w:rsidP="0045454D">
      <w:r>
        <w:t xml:space="preserve">2. The </w:t>
      </w:r>
      <w:r w:rsidR="00A32668" w:rsidRPr="003635E9">
        <w:t>CO</w:t>
      </w:r>
      <w:r w:rsidR="00A32668" w:rsidRPr="00A32668">
        <w:rPr>
          <w:vertAlign w:val="subscript"/>
        </w:rPr>
        <w:t>2</w:t>
      </w:r>
      <w:r w:rsidR="00A32668" w:rsidRPr="003635E9">
        <w:t xml:space="preserve"> </w:t>
      </w:r>
      <w:r>
        <w:t xml:space="preserve">authorized account representative of a </w:t>
      </w:r>
      <w:r w:rsidR="00A32668" w:rsidRPr="003635E9">
        <w:t>CO</w:t>
      </w:r>
      <w:r w:rsidR="00A32668" w:rsidRPr="00A32668">
        <w:rPr>
          <w:vertAlign w:val="subscript"/>
        </w:rPr>
        <w:t>2</w:t>
      </w:r>
      <w:r w:rsidR="00A32668" w:rsidRPr="003635E9">
        <w:t xml:space="preserve"> </w:t>
      </w:r>
      <w:r>
        <w:t xml:space="preserve">budget source and each </w:t>
      </w:r>
      <w:r w:rsidR="00A32668" w:rsidRPr="003635E9">
        <w:t>CO</w:t>
      </w:r>
      <w:r w:rsidR="00A32668" w:rsidRPr="00A32668">
        <w:rPr>
          <w:vertAlign w:val="subscript"/>
        </w:rPr>
        <w:t>2</w:t>
      </w:r>
      <w:r w:rsidR="00A32668" w:rsidRPr="003635E9">
        <w:t xml:space="preserve"> </w:t>
      </w:r>
      <w:r>
        <w:t xml:space="preserve">budget unit at the source shall submit the reports and compliance certifications required under the </w:t>
      </w:r>
      <w:r w:rsidR="00A32668" w:rsidRPr="003635E9">
        <w:t>CO</w:t>
      </w:r>
      <w:r w:rsidR="00A32668" w:rsidRPr="00A32668">
        <w:rPr>
          <w:vertAlign w:val="subscript"/>
        </w:rPr>
        <w:t>2</w:t>
      </w:r>
      <w:r w:rsidR="00A32668" w:rsidRPr="003635E9">
        <w:t xml:space="preserve"> </w:t>
      </w:r>
      <w:r>
        <w:t>Budget Trading Program, including those under Article 4 (9VAC5-140-6170 et seq.).</w:t>
      </w:r>
    </w:p>
    <w:p w14:paraId="4A7753BF" w14:textId="77777777" w:rsidR="0045454D" w:rsidRDefault="0045454D" w:rsidP="0045454D"/>
    <w:p w14:paraId="5ED4B009" w14:textId="039CF3AB" w:rsidR="0045454D" w:rsidRDefault="0045454D" w:rsidP="0045454D">
      <w:r w:rsidRPr="00C355AC">
        <w:rPr>
          <w:u w:val="single"/>
        </w:rPr>
        <w:t>Liability requirements shall be as follows</w:t>
      </w:r>
      <w:r w:rsidR="001E68F6">
        <w:t>:</w:t>
      </w:r>
    </w:p>
    <w:p w14:paraId="20722775" w14:textId="77777777" w:rsidR="0045454D" w:rsidRDefault="0045454D" w:rsidP="0045454D">
      <w:r>
        <w:t xml:space="preserve">1. No permit revision shall excuse any violation of the requirements of the </w:t>
      </w:r>
      <w:r w:rsidR="00A32668" w:rsidRPr="003635E9">
        <w:t>CO</w:t>
      </w:r>
      <w:r w:rsidR="00A32668" w:rsidRPr="00A32668">
        <w:rPr>
          <w:vertAlign w:val="subscript"/>
        </w:rPr>
        <w:t>2</w:t>
      </w:r>
      <w:r w:rsidR="00A32668" w:rsidRPr="003635E9">
        <w:t xml:space="preserve"> </w:t>
      </w:r>
      <w:r>
        <w:t>Budget Trading Program that occurs prior to the date that the revision takes effect.</w:t>
      </w:r>
    </w:p>
    <w:p w14:paraId="56607357" w14:textId="77777777" w:rsidR="0045454D" w:rsidRDefault="0045454D" w:rsidP="0045454D">
      <w:r>
        <w:t xml:space="preserve">2. Any provision of the </w:t>
      </w:r>
      <w:r w:rsidR="00A32668" w:rsidRPr="003635E9">
        <w:t>CO</w:t>
      </w:r>
      <w:r w:rsidR="00A32668" w:rsidRPr="00A32668">
        <w:rPr>
          <w:vertAlign w:val="subscript"/>
        </w:rPr>
        <w:t>2</w:t>
      </w:r>
      <w:r w:rsidR="00A32668" w:rsidRPr="003635E9">
        <w:t xml:space="preserve"> </w:t>
      </w:r>
      <w:r>
        <w:t xml:space="preserve">Budget Trading Program that applies to a </w:t>
      </w:r>
      <w:r w:rsidR="00A32668" w:rsidRPr="003635E9">
        <w:t>CO</w:t>
      </w:r>
      <w:r w:rsidR="00A32668" w:rsidRPr="00A32668">
        <w:rPr>
          <w:vertAlign w:val="subscript"/>
        </w:rPr>
        <w:t>2</w:t>
      </w:r>
      <w:r w:rsidR="00A32668" w:rsidRPr="003635E9">
        <w:t xml:space="preserve"> </w:t>
      </w:r>
      <w:r>
        <w:t xml:space="preserve">budget source, including a provision applicable to the </w:t>
      </w:r>
      <w:r w:rsidR="00A32668" w:rsidRPr="003635E9">
        <w:t>CO</w:t>
      </w:r>
      <w:r w:rsidR="00A32668" w:rsidRPr="00A32668">
        <w:rPr>
          <w:vertAlign w:val="subscript"/>
        </w:rPr>
        <w:t>2</w:t>
      </w:r>
      <w:r w:rsidR="00A32668" w:rsidRPr="003635E9">
        <w:t xml:space="preserve"> </w:t>
      </w:r>
      <w:r>
        <w:t xml:space="preserve">authorized account representative of a </w:t>
      </w:r>
      <w:r w:rsidR="00A32668" w:rsidRPr="003635E9">
        <w:t>CO</w:t>
      </w:r>
      <w:r w:rsidR="00A32668" w:rsidRPr="00A32668">
        <w:rPr>
          <w:vertAlign w:val="subscript"/>
        </w:rPr>
        <w:t>2</w:t>
      </w:r>
      <w:r w:rsidR="00A32668" w:rsidRPr="003635E9">
        <w:t xml:space="preserve"> </w:t>
      </w:r>
      <w:r>
        <w:t xml:space="preserve">budget source, shall also apply to the owners and operators of such source and of the </w:t>
      </w:r>
      <w:r w:rsidR="00A32668" w:rsidRPr="003635E9">
        <w:t>CO</w:t>
      </w:r>
      <w:r w:rsidR="00A32668" w:rsidRPr="00A32668">
        <w:rPr>
          <w:vertAlign w:val="subscript"/>
        </w:rPr>
        <w:t>2</w:t>
      </w:r>
      <w:r w:rsidR="00A32668" w:rsidRPr="003635E9">
        <w:t xml:space="preserve"> </w:t>
      </w:r>
      <w:r>
        <w:t>budget units at the source.</w:t>
      </w:r>
    </w:p>
    <w:p w14:paraId="4D35C784" w14:textId="77777777" w:rsidR="0045454D" w:rsidRDefault="0045454D" w:rsidP="0045454D">
      <w:r>
        <w:t xml:space="preserve">3. Any provision of the </w:t>
      </w:r>
      <w:r w:rsidR="00A32668" w:rsidRPr="003635E9">
        <w:t>CO</w:t>
      </w:r>
      <w:r w:rsidR="00A32668" w:rsidRPr="00A32668">
        <w:rPr>
          <w:vertAlign w:val="subscript"/>
        </w:rPr>
        <w:t>2</w:t>
      </w:r>
      <w:r w:rsidR="00A32668" w:rsidRPr="003635E9">
        <w:t xml:space="preserve"> </w:t>
      </w:r>
      <w:r>
        <w:t xml:space="preserve">Budget Trading Program that applies to a </w:t>
      </w:r>
      <w:r w:rsidR="00A32668" w:rsidRPr="003635E9">
        <w:t>CO</w:t>
      </w:r>
      <w:r w:rsidR="00A32668" w:rsidRPr="00A32668">
        <w:rPr>
          <w:vertAlign w:val="subscript"/>
        </w:rPr>
        <w:t>2</w:t>
      </w:r>
      <w:r w:rsidR="00A32668" w:rsidRPr="003635E9">
        <w:t xml:space="preserve"> </w:t>
      </w:r>
      <w:r>
        <w:t xml:space="preserve">budget unit, including a provision applicable to the </w:t>
      </w:r>
      <w:r w:rsidR="00A32668" w:rsidRPr="003635E9">
        <w:t>CO</w:t>
      </w:r>
      <w:r w:rsidR="00A32668" w:rsidRPr="00A32668">
        <w:rPr>
          <w:vertAlign w:val="subscript"/>
        </w:rPr>
        <w:t>2</w:t>
      </w:r>
      <w:r w:rsidR="00A32668" w:rsidRPr="003635E9">
        <w:t xml:space="preserve"> </w:t>
      </w:r>
      <w:r>
        <w:t xml:space="preserve">authorized account representative of a </w:t>
      </w:r>
      <w:r w:rsidR="00A32668" w:rsidRPr="003635E9">
        <w:t>CO</w:t>
      </w:r>
      <w:r w:rsidR="00A32668" w:rsidRPr="00A32668">
        <w:rPr>
          <w:vertAlign w:val="subscript"/>
        </w:rPr>
        <w:t>2</w:t>
      </w:r>
      <w:r w:rsidR="00A32668" w:rsidRPr="003635E9">
        <w:t xml:space="preserve"> </w:t>
      </w:r>
      <w:r>
        <w:t>budget unit, shall also apply to the owners and operators of such unit.</w:t>
      </w:r>
    </w:p>
    <w:p w14:paraId="1B9407F6" w14:textId="71B2AC78" w:rsidR="0045454D" w:rsidRDefault="00DA7B44" w:rsidP="0045454D">
      <w:r>
        <w:t xml:space="preserve">4. </w:t>
      </w:r>
      <w:r w:rsidR="0045454D">
        <w:t xml:space="preserve">No provision of the </w:t>
      </w:r>
      <w:r w:rsidR="00A32668" w:rsidRPr="003635E9">
        <w:t>CO</w:t>
      </w:r>
      <w:r w:rsidR="00A32668" w:rsidRPr="00A32668">
        <w:rPr>
          <w:vertAlign w:val="subscript"/>
        </w:rPr>
        <w:t>2</w:t>
      </w:r>
      <w:r w:rsidR="00A32668" w:rsidRPr="003635E9">
        <w:t xml:space="preserve"> </w:t>
      </w:r>
      <w:r w:rsidR="0045454D">
        <w:t xml:space="preserve">Budget Trading Program, a </w:t>
      </w:r>
      <w:r w:rsidR="00A32668" w:rsidRPr="003635E9">
        <w:t>CO</w:t>
      </w:r>
      <w:r w:rsidR="00A32668" w:rsidRPr="00A32668">
        <w:rPr>
          <w:vertAlign w:val="subscript"/>
        </w:rPr>
        <w:t>2</w:t>
      </w:r>
      <w:r w:rsidR="00A32668" w:rsidRPr="003635E9">
        <w:t xml:space="preserve"> </w:t>
      </w:r>
      <w:r w:rsidR="0045454D">
        <w:t xml:space="preserve">budget permit application, or a </w:t>
      </w:r>
      <w:r w:rsidR="00A32668" w:rsidRPr="003635E9">
        <w:t>CO</w:t>
      </w:r>
      <w:r w:rsidR="00A32668" w:rsidRPr="00A32668">
        <w:rPr>
          <w:vertAlign w:val="subscript"/>
        </w:rPr>
        <w:t>2</w:t>
      </w:r>
      <w:r w:rsidR="00A32668" w:rsidRPr="003635E9">
        <w:t xml:space="preserve"> </w:t>
      </w:r>
      <w:r w:rsidR="0045454D">
        <w:t xml:space="preserve">budget permit shall be construed as exempting or excluding the owners and operators and, to the extent applicable, the </w:t>
      </w:r>
      <w:r w:rsidR="00A32668" w:rsidRPr="003635E9">
        <w:t>CO</w:t>
      </w:r>
      <w:r w:rsidR="00A32668" w:rsidRPr="00A32668">
        <w:rPr>
          <w:vertAlign w:val="subscript"/>
        </w:rPr>
        <w:t>2</w:t>
      </w:r>
      <w:r w:rsidR="00A32668" w:rsidRPr="003635E9">
        <w:t xml:space="preserve"> </w:t>
      </w:r>
      <w:r w:rsidR="0045454D">
        <w:t xml:space="preserve">authorized account representative of the </w:t>
      </w:r>
      <w:r w:rsidR="00A32668" w:rsidRPr="003635E9">
        <w:t>CO</w:t>
      </w:r>
      <w:r w:rsidR="00A32668" w:rsidRPr="00A32668">
        <w:rPr>
          <w:vertAlign w:val="subscript"/>
        </w:rPr>
        <w:t>2</w:t>
      </w:r>
      <w:r w:rsidR="00A32668" w:rsidRPr="003635E9">
        <w:t xml:space="preserve"> </w:t>
      </w:r>
      <w:r w:rsidR="0045454D">
        <w:t xml:space="preserve">budget source or </w:t>
      </w:r>
      <w:r w:rsidR="00A32668" w:rsidRPr="003635E9">
        <w:t>CO</w:t>
      </w:r>
      <w:r w:rsidR="00A32668" w:rsidRPr="00A32668">
        <w:rPr>
          <w:vertAlign w:val="subscript"/>
        </w:rPr>
        <w:t>2</w:t>
      </w:r>
      <w:r w:rsidR="00A32668" w:rsidRPr="003635E9">
        <w:t xml:space="preserve"> </w:t>
      </w:r>
      <w:r w:rsidR="0045454D">
        <w:t>budget</w:t>
      </w:r>
      <w:r w:rsidR="005F539A">
        <w:t xml:space="preserve"> from compliance with any other provisions of applicable state and federal law or regulations.</w:t>
      </w:r>
    </w:p>
    <w:p w14:paraId="03BEBEF1" w14:textId="77777777" w:rsidR="00060920" w:rsidRDefault="00DA7B44" w:rsidP="00060920">
      <w:r>
        <w:t xml:space="preserve">5. </w:t>
      </w:r>
      <w:r w:rsidR="00060920" w:rsidRPr="003635E9">
        <w:t>Each submission under the CO</w:t>
      </w:r>
      <w:r w:rsidR="00060920" w:rsidRPr="00060920">
        <w:rPr>
          <w:vertAlign w:val="subscript"/>
        </w:rPr>
        <w:t>2</w:t>
      </w:r>
      <w:r w:rsidR="00060920" w:rsidRPr="003635E9">
        <w:t xml:space="preserve"> Budget Trading Program shall be submitted, signed, and certified by the CO</w:t>
      </w:r>
      <w:r w:rsidR="00060920" w:rsidRPr="00AB6441">
        <w:rPr>
          <w:vertAlign w:val="subscript"/>
        </w:rPr>
        <w:t>2</w:t>
      </w:r>
      <w:r w:rsidR="00060920" w:rsidRPr="003635E9">
        <w:t xml:space="preserve"> authorized account representative for each CO</w:t>
      </w:r>
      <w:r w:rsidR="00060920" w:rsidRPr="00AB6441">
        <w:rPr>
          <w:vertAlign w:val="subscript"/>
        </w:rPr>
        <w:t>2</w:t>
      </w:r>
      <w:r w:rsidR="00060920" w:rsidRPr="003635E9">
        <w:t xml:space="preserve"> budget source on behalf of which the submission is made. Each such submission shall include the following certification statement by the </w:t>
      </w:r>
      <w:r w:rsidR="00A32668" w:rsidRPr="003635E9">
        <w:t>CO</w:t>
      </w:r>
      <w:r w:rsidR="00A32668" w:rsidRPr="00A32668">
        <w:rPr>
          <w:vertAlign w:val="subscript"/>
        </w:rPr>
        <w:t>2</w:t>
      </w:r>
      <w:r w:rsidR="00A32668" w:rsidRPr="003635E9">
        <w:t xml:space="preserve"> </w:t>
      </w:r>
      <w:r w:rsidR="00060920" w:rsidRPr="003635E9">
        <w:t xml:space="preserve">authorized account representative: "I am authorized to make this submission on behalf of the owners and operators of the </w:t>
      </w:r>
      <w:r w:rsidR="00A32668" w:rsidRPr="003635E9">
        <w:t>CO</w:t>
      </w:r>
      <w:r w:rsidR="00A32668" w:rsidRPr="00A32668">
        <w:rPr>
          <w:vertAlign w:val="subscript"/>
        </w:rPr>
        <w:t>2</w:t>
      </w:r>
      <w:r w:rsidR="00A32668" w:rsidRPr="003635E9">
        <w:t xml:space="preserve"> </w:t>
      </w:r>
      <w:r w:rsidR="00060920" w:rsidRPr="003635E9">
        <w:t xml:space="preserve">budget sources or </w:t>
      </w:r>
      <w:r w:rsidR="00A32668" w:rsidRPr="003635E9">
        <w:t>CO</w:t>
      </w:r>
      <w:r w:rsidR="00A32668" w:rsidRPr="00A32668">
        <w:rPr>
          <w:vertAlign w:val="subscript"/>
        </w:rPr>
        <w:t>2</w:t>
      </w:r>
      <w:r w:rsidR="00A32668" w:rsidRPr="003635E9">
        <w:t xml:space="preserve"> </w:t>
      </w:r>
      <w:r w:rsidR="00060920" w:rsidRPr="003635E9">
        <w:t>budget units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14:paraId="47AFE03E" w14:textId="77777777" w:rsidR="003F5F19" w:rsidRDefault="003F5F19" w:rsidP="003F5F19"/>
    <w:p w14:paraId="413A894F" w14:textId="77777777" w:rsidR="003F5F19" w:rsidRDefault="003F5F19" w:rsidP="003F5F19"/>
    <w:p w14:paraId="7DB26CEB" w14:textId="77777777" w:rsidR="003F5F19" w:rsidRPr="00A32668" w:rsidRDefault="00A32668" w:rsidP="003F5F19">
      <w:pPr>
        <w:rPr>
          <w:u w:val="single"/>
        </w:rPr>
      </w:pPr>
      <w:r w:rsidRPr="00A32668">
        <w:rPr>
          <w:u w:val="single"/>
        </w:rPr>
        <w:t>Submission Certification</w:t>
      </w:r>
    </w:p>
    <w:p w14:paraId="220E26E0" w14:textId="0A8BF533" w:rsidR="003F5F19" w:rsidRDefault="003F5F19" w:rsidP="003F5F19">
      <w:r w:rsidRPr="003635E9">
        <w:t xml:space="preserve">I am authorized to make this submission on behalf of the owners and operators of the </w:t>
      </w:r>
      <w:r w:rsidR="00A32668" w:rsidRPr="003635E9">
        <w:t>CO</w:t>
      </w:r>
      <w:r w:rsidR="00A32668" w:rsidRPr="00A32668">
        <w:rPr>
          <w:vertAlign w:val="subscript"/>
        </w:rPr>
        <w:t>2</w:t>
      </w:r>
      <w:r w:rsidR="00A32668" w:rsidRPr="003635E9">
        <w:t xml:space="preserve"> </w:t>
      </w:r>
      <w:r w:rsidRPr="003635E9">
        <w:t>budget sources or CO</w:t>
      </w:r>
      <w:r w:rsidRPr="00A32668">
        <w:rPr>
          <w:vertAlign w:val="subscript"/>
        </w:rPr>
        <w:t>2</w:t>
      </w:r>
      <w:r w:rsidRPr="003635E9">
        <w:t xml:space="preserve"> budget units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14:paraId="13F62FDA" w14:textId="77777777" w:rsidR="003F5F19" w:rsidRDefault="003F5F19" w:rsidP="003F5F19"/>
    <w:p w14:paraId="669674D1" w14:textId="77777777" w:rsidR="003F5F19" w:rsidRDefault="003F5F19" w:rsidP="003F5F19"/>
    <w:p w14:paraId="350C5FBA" w14:textId="77777777" w:rsidR="003F5F19" w:rsidRDefault="003F5F19" w:rsidP="003F5F19">
      <w:r>
        <w:t>_______________________________________</w:t>
      </w:r>
      <w:r>
        <w:tab/>
      </w:r>
      <w:r>
        <w:tab/>
      </w:r>
      <w:r>
        <w:tab/>
        <w:t>________________</w:t>
      </w:r>
    </w:p>
    <w:p w14:paraId="36C12854" w14:textId="4CB88FEE" w:rsidR="003F5F19" w:rsidRDefault="003F5F19" w:rsidP="002F2432">
      <w:pPr>
        <w:tabs>
          <w:tab w:val="left" w:pos="7200"/>
        </w:tabs>
        <w:rPr>
          <w:sz w:val="23"/>
          <w:szCs w:val="23"/>
        </w:rPr>
      </w:pPr>
      <w:r>
        <w:rPr>
          <w:sz w:val="23"/>
          <w:szCs w:val="23"/>
        </w:rPr>
        <w:t>CO</w:t>
      </w:r>
      <w:r w:rsidRPr="00060920">
        <w:rPr>
          <w:sz w:val="23"/>
          <w:szCs w:val="23"/>
          <w:vertAlign w:val="subscript"/>
        </w:rPr>
        <w:t>2</w:t>
      </w:r>
      <w:r>
        <w:rPr>
          <w:sz w:val="23"/>
          <w:szCs w:val="23"/>
        </w:rPr>
        <w:t xml:space="preserve"> Authorized Alternate Account Representative</w:t>
      </w:r>
      <w:r w:rsidR="002F2432">
        <w:rPr>
          <w:sz w:val="23"/>
          <w:szCs w:val="23"/>
        </w:rPr>
        <w:tab/>
      </w:r>
      <w:r>
        <w:rPr>
          <w:sz w:val="23"/>
          <w:szCs w:val="23"/>
        </w:rPr>
        <w:t>Date</w:t>
      </w:r>
    </w:p>
    <w:p w14:paraId="2B34FC7A" w14:textId="77777777" w:rsidR="003F5F19" w:rsidRDefault="003F5F19" w:rsidP="003F5F19">
      <w:pPr>
        <w:rPr>
          <w:sz w:val="23"/>
          <w:szCs w:val="23"/>
        </w:rPr>
      </w:pPr>
    </w:p>
    <w:p w14:paraId="2AC6A59E" w14:textId="77777777" w:rsidR="003F5F19" w:rsidRDefault="003F5F19" w:rsidP="003F5F19">
      <w:r>
        <w:t>Name:</w:t>
      </w:r>
      <w:r w:rsidR="00440C45">
        <w:t xml:space="preserve"> _____________________________________________</w:t>
      </w:r>
    </w:p>
    <w:p w14:paraId="21CC7B50" w14:textId="77777777" w:rsidR="00440C45" w:rsidRDefault="00440C45" w:rsidP="003F5F19"/>
    <w:p w14:paraId="3CA36888" w14:textId="77777777" w:rsidR="003F5F19" w:rsidRDefault="003F5F19" w:rsidP="003F5F19">
      <w:r>
        <w:t>Title:</w:t>
      </w:r>
      <w:r w:rsidR="00440C45">
        <w:t xml:space="preserve"> ______________________________________________</w:t>
      </w:r>
    </w:p>
    <w:sectPr w:rsidR="003F5F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245B1" w14:textId="77777777" w:rsidR="00EA76E2" w:rsidRDefault="00EA76E2" w:rsidP="003F5F19">
      <w:r>
        <w:separator/>
      </w:r>
    </w:p>
  </w:endnote>
  <w:endnote w:type="continuationSeparator" w:id="0">
    <w:p w14:paraId="69C5CC8B" w14:textId="77777777" w:rsidR="00EA76E2" w:rsidRDefault="00EA76E2" w:rsidP="003F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Caslon Regular">
    <w:altName w:val="Times New Roman"/>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7E6AC" w14:textId="77777777" w:rsidR="00EA76E2" w:rsidRDefault="00EA76E2" w:rsidP="003F5F19">
      <w:r>
        <w:separator/>
      </w:r>
    </w:p>
  </w:footnote>
  <w:footnote w:type="continuationSeparator" w:id="0">
    <w:p w14:paraId="453C19F7" w14:textId="77777777" w:rsidR="00EA76E2" w:rsidRDefault="00EA76E2" w:rsidP="003F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AC4E" w14:textId="77777777" w:rsidR="003F5F19" w:rsidRDefault="003F5F19">
    <w:pPr>
      <w:pStyle w:val="Header"/>
    </w:pPr>
    <w:r>
      <w:t>CO</w:t>
    </w:r>
    <w:r>
      <w:rPr>
        <w:vertAlign w:val="subscript"/>
      </w:rPr>
      <w:t>2</w:t>
    </w:r>
    <w:r>
      <w:t xml:space="preserve"> Budget Source Permit Application</w:t>
    </w:r>
  </w:p>
  <w:p w14:paraId="02DD19F6" w14:textId="77777777" w:rsidR="003F5F19" w:rsidRDefault="003F5F19">
    <w:pPr>
      <w:pStyle w:val="Header"/>
    </w:pPr>
    <w:r>
      <w:t>DATE</w:t>
    </w:r>
  </w:p>
  <w:p w14:paraId="77399BE0" w14:textId="21AAE804" w:rsidR="003F5F19" w:rsidRDefault="003F5F19">
    <w:pPr>
      <w:pStyle w:val="Header"/>
      <w:rPr>
        <w:noProof/>
      </w:rPr>
    </w:pPr>
    <w:r>
      <w:t xml:space="preserve">Page </w:t>
    </w:r>
    <w:r>
      <w:fldChar w:fldCharType="begin"/>
    </w:r>
    <w:r>
      <w:instrText xml:space="preserve"> PAGE   \* MERGEFORMAT </w:instrText>
    </w:r>
    <w:r>
      <w:fldChar w:fldCharType="separate"/>
    </w:r>
    <w:r w:rsidR="00EA76E2">
      <w:rPr>
        <w:noProof/>
      </w:rPr>
      <w:t>1</w:t>
    </w:r>
    <w:r>
      <w:rPr>
        <w:noProof/>
      </w:rPr>
      <w:fldChar w:fldCharType="end"/>
    </w:r>
  </w:p>
  <w:p w14:paraId="781DD257" w14:textId="77777777" w:rsidR="003F5F19" w:rsidRPr="003F5F19" w:rsidRDefault="003F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670"/>
    <w:multiLevelType w:val="multilevel"/>
    <w:tmpl w:val="B5921E34"/>
    <w:lvl w:ilvl="0">
      <w:start w:val="1"/>
      <w:numFmt w:val="upperRoman"/>
      <w:pStyle w:val="T5Level1"/>
      <w:lvlText w:val="%1."/>
      <w:lvlJc w:val="left"/>
      <w:pPr>
        <w:tabs>
          <w:tab w:val="num" w:pos="648"/>
        </w:tabs>
        <w:ind w:left="648" w:hanging="648"/>
      </w:pPr>
      <w:rPr>
        <w:rFonts w:ascii="Times New Roman" w:hAnsi="Times New Roman" w:hint="default"/>
        <w:b/>
        <w:i w:val="0"/>
        <w:sz w:val="28"/>
      </w:rPr>
    </w:lvl>
    <w:lvl w:ilvl="1">
      <w:start w:val="1"/>
      <w:numFmt w:val="upperLetter"/>
      <w:pStyle w:val="T5Level2"/>
      <w:lvlText w:val="%2."/>
      <w:lvlJc w:val="left"/>
      <w:pPr>
        <w:tabs>
          <w:tab w:val="num" w:pos="720"/>
        </w:tabs>
        <w:ind w:left="720" w:hanging="360"/>
      </w:pPr>
      <w:rPr>
        <w:rFonts w:ascii="Times New Roman" w:hAnsi="Times New Roman" w:hint="default"/>
        <w:b/>
        <w:i w:val="0"/>
        <w:sz w:val="24"/>
      </w:rPr>
    </w:lvl>
    <w:lvl w:ilvl="2">
      <w:start w:val="1"/>
      <w:numFmt w:val="decimal"/>
      <w:pStyle w:val="T5Level3"/>
      <w:lvlText w:val="%3."/>
      <w:lvlJc w:val="left"/>
      <w:pPr>
        <w:tabs>
          <w:tab w:val="num" w:pos="1080"/>
        </w:tabs>
        <w:ind w:left="1080" w:hanging="360"/>
      </w:pPr>
      <w:rPr>
        <w:rFonts w:ascii="Times New Roman" w:hAnsi="Times New Roman" w:hint="default"/>
        <w:b w:val="0"/>
        <w:i w:val="0"/>
        <w:sz w:val="24"/>
      </w:rPr>
    </w:lvl>
    <w:lvl w:ilvl="3">
      <w:start w:val="1"/>
      <w:numFmt w:val="lowerLetter"/>
      <w:pStyle w:val="T5Level4"/>
      <w:lvlText w:val="%4."/>
      <w:lvlJc w:val="left"/>
      <w:pPr>
        <w:tabs>
          <w:tab w:val="num" w:pos="1440"/>
        </w:tabs>
        <w:ind w:left="1440" w:hanging="360"/>
      </w:pPr>
      <w:rPr>
        <w:rFonts w:ascii="Times New Roman" w:hAnsi="Times New Roman" w:hint="default"/>
        <w:b w:val="0"/>
        <w:i w:val="0"/>
        <w:sz w:val="24"/>
      </w:rPr>
    </w:lvl>
    <w:lvl w:ilvl="4">
      <w:start w:val="1"/>
      <w:numFmt w:val="lowerRoman"/>
      <w:pStyle w:val="T5Level5"/>
      <w:lvlText w:val="(%5)"/>
      <w:lvlJc w:val="left"/>
      <w:pPr>
        <w:tabs>
          <w:tab w:val="num" w:pos="1800"/>
        </w:tabs>
        <w:ind w:left="1800" w:hanging="360"/>
      </w:pPr>
      <w:rPr>
        <w:rFonts w:ascii="Times New Roman" w:hAnsi="Times New Roman" w:hint="default"/>
        <w:b w:val="0"/>
        <w:i w:val="0"/>
        <w:sz w:val="24"/>
      </w:rPr>
    </w:lvl>
    <w:lvl w:ilvl="5">
      <w:start w:val="1"/>
      <w:numFmt w:val="lowerLetter"/>
      <w:pStyle w:val="T5Level6"/>
      <w:lvlText w:val="(%6)"/>
      <w:lvlJc w:val="left"/>
      <w:pPr>
        <w:tabs>
          <w:tab w:val="num" w:pos="2070"/>
        </w:tabs>
        <w:ind w:left="2070" w:hanging="360"/>
      </w:pPr>
      <w:rPr>
        <w:rFonts w:ascii="Times New Roman" w:hAnsi="Times New Roman" w:hint="default"/>
        <w:b w:val="0"/>
        <w:i w:val="0"/>
        <w:sz w:val="24"/>
      </w:rPr>
    </w:lvl>
    <w:lvl w:ilvl="6">
      <w:start w:val="1"/>
      <w:numFmt w:val="decimal"/>
      <w:pStyle w:val="T5Level7"/>
      <w:lvlText w:val="(%7)"/>
      <w:lvlJc w:val="left"/>
      <w:pPr>
        <w:tabs>
          <w:tab w:val="num" w:pos="2880"/>
        </w:tabs>
        <w:ind w:left="2520" w:hanging="360"/>
      </w:pPr>
      <w:rPr>
        <w:rFonts w:ascii="Times New Roman" w:hAnsi="Times New Roman" w:hint="default"/>
        <w:b w:val="0"/>
        <w:i w:val="0"/>
        <w:sz w:val="24"/>
      </w:rPr>
    </w:lvl>
    <w:lvl w:ilvl="7">
      <w:start w:val="1"/>
      <w:numFmt w:val="lowerLetter"/>
      <w:pStyle w:val="T5Level8"/>
      <w:lvlText w:val="%8)"/>
      <w:lvlJc w:val="left"/>
      <w:pPr>
        <w:tabs>
          <w:tab w:val="num" w:pos="2880"/>
        </w:tabs>
        <w:ind w:left="2880" w:hanging="360"/>
      </w:pPr>
      <w:rPr>
        <w:rFonts w:ascii="Times New Roman" w:hAnsi="Times New Roman" w:hint="default"/>
        <w:b w:val="0"/>
        <w:i w:val="0"/>
        <w:sz w:val="24"/>
      </w:rPr>
    </w:lvl>
    <w:lvl w:ilvl="8">
      <w:start w:val="1"/>
      <w:numFmt w:val="lowerRoman"/>
      <w:pStyle w:val="T5Level9"/>
      <w:lvlText w:val="%9)"/>
      <w:lvlJc w:val="left"/>
      <w:pPr>
        <w:tabs>
          <w:tab w:val="num" w:pos="3600"/>
        </w:tabs>
        <w:ind w:left="3240" w:hanging="360"/>
      </w:pPr>
      <w:rPr>
        <w:rFonts w:ascii="Times New Roman" w:hAnsi="Times New Roman" w:hint="default"/>
        <w:b w:val="0"/>
        <w:i w:val="0"/>
        <w:sz w:val="24"/>
      </w:rPr>
    </w:lvl>
  </w:abstractNum>
  <w:abstractNum w:abstractNumId="1" w15:restartNumberingAfterBreak="0">
    <w:nsid w:val="3A2B3029"/>
    <w:multiLevelType w:val="multilevel"/>
    <w:tmpl w:val="E968E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17C721E"/>
    <w:multiLevelType w:val="multilevel"/>
    <w:tmpl w:val="4440A4E4"/>
    <w:lvl w:ilvl="0">
      <w:start w:val="1"/>
      <w:numFmt w:val="none"/>
      <w:pStyle w:val="ManualChapter"/>
      <w:suff w:val="nothing"/>
      <w:lvlText w:val=""/>
      <w:lvlJc w:val="left"/>
      <w:pPr>
        <w:ind w:left="288" w:hanging="288"/>
      </w:pPr>
      <w:rPr>
        <w:rFonts w:hint="default"/>
      </w:rPr>
    </w:lvl>
    <w:lvl w:ilvl="1">
      <w:start w:val="1"/>
      <w:numFmt w:val="upperLetter"/>
      <w:pStyle w:val="ManualSubsectionA"/>
      <w:lvlText w:val="%2."/>
      <w:lvlJc w:val="left"/>
      <w:pPr>
        <w:ind w:left="288" w:hanging="288"/>
      </w:pPr>
      <w:rPr>
        <w:rFonts w:hint="default"/>
      </w:rPr>
    </w:lvl>
    <w:lvl w:ilvl="2">
      <w:start w:val="1"/>
      <w:numFmt w:val="decimal"/>
      <w:pStyle w:val="ManualSubsection1"/>
      <w:lvlText w:val="%3."/>
      <w:lvlJc w:val="left"/>
      <w:pPr>
        <w:ind w:left="576" w:hanging="288"/>
      </w:pPr>
      <w:rPr>
        <w:rFonts w:hint="default"/>
      </w:rPr>
    </w:lvl>
    <w:lvl w:ilvl="3">
      <w:start w:val="1"/>
      <w:numFmt w:val="lowerLetter"/>
      <w:pStyle w:val="ManualSubsectiona0"/>
      <w:lvlText w:val="%4."/>
      <w:lvlJc w:val="left"/>
      <w:pPr>
        <w:ind w:left="864" w:hanging="288"/>
      </w:pPr>
      <w:rPr>
        <w:rFonts w:hint="default"/>
      </w:rPr>
    </w:lvl>
    <w:lvl w:ilvl="4">
      <w:start w:val="1"/>
      <w:numFmt w:val="lowerLetter"/>
      <w:pStyle w:val="ManualSubsectioni"/>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 w15:restartNumberingAfterBreak="0">
    <w:nsid w:val="43554964"/>
    <w:multiLevelType w:val="multilevel"/>
    <w:tmpl w:val="CA8CE2B0"/>
    <w:lvl w:ilvl="0">
      <w:start w:val="1"/>
      <w:numFmt w:val="upperRoman"/>
      <w:pStyle w:val="MemoLevel1"/>
      <w:lvlText w:val="%1."/>
      <w:lvlJc w:val="left"/>
      <w:pPr>
        <w:ind w:left="576" w:hanging="576"/>
      </w:pPr>
      <w:rPr>
        <w:rFonts w:hint="default"/>
        <w:b/>
      </w:rPr>
    </w:lvl>
    <w:lvl w:ilvl="1">
      <w:start w:val="1"/>
      <w:numFmt w:val="upperLetter"/>
      <w:pStyle w:val="MemoLevel2"/>
      <w:lvlText w:val="%2."/>
      <w:lvlJc w:val="left"/>
      <w:pPr>
        <w:ind w:left="864"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69A22C58"/>
    <w:multiLevelType w:val="multilevel"/>
    <w:tmpl w:val="54F0F532"/>
    <w:lvl w:ilvl="0">
      <w:start w:val="1"/>
      <w:numFmt w:val="decimal"/>
      <w:pStyle w:val="PermitCdn1"/>
      <w:lvlText w:val="%1."/>
      <w:lvlJc w:val="left"/>
      <w:pPr>
        <w:tabs>
          <w:tab w:val="num" w:pos="0"/>
        </w:tabs>
        <w:ind w:left="504" w:hanging="504"/>
      </w:pPr>
      <w:rPr>
        <w:rFonts w:hint="default"/>
        <w:b w:val="0"/>
        <w:i w:val="0"/>
      </w:rPr>
    </w:lvl>
    <w:lvl w:ilvl="1">
      <w:start w:val="1"/>
      <w:numFmt w:val="lowerLetter"/>
      <w:pStyle w:val="PermitCdna"/>
      <w:lvlText w:val="%2."/>
      <w:lvlJc w:val="left"/>
      <w:pPr>
        <w:tabs>
          <w:tab w:val="num" w:pos="1008"/>
        </w:tabs>
        <w:ind w:left="1008" w:hanging="504"/>
      </w:pPr>
      <w:rPr>
        <w:rFonts w:hint="default"/>
      </w:rPr>
    </w:lvl>
    <w:lvl w:ilvl="2">
      <w:start w:val="1"/>
      <w:numFmt w:val="lowerRoman"/>
      <w:pStyle w:val="PermitCdni"/>
      <w:lvlText w:val="%3."/>
      <w:lvlJc w:val="left"/>
      <w:pPr>
        <w:tabs>
          <w:tab w:val="num" w:pos="1512"/>
        </w:tabs>
        <w:ind w:left="1512" w:hanging="504"/>
      </w:pPr>
      <w:rPr>
        <w:rFonts w:hint="default"/>
      </w:rPr>
    </w:lvl>
    <w:lvl w:ilvl="3">
      <w:start w:val="1"/>
      <w:numFmt w:val="decimal"/>
      <w:pStyle w:val="PermitCdn10"/>
      <w:lvlText w:val="(%4)"/>
      <w:lvlJc w:val="left"/>
      <w:pPr>
        <w:tabs>
          <w:tab w:val="num" w:pos="2016"/>
        </w:tabs>
        <w:ind w:left="2016" w:hanging="504"/>
      </w:pPr>
      <w:rPr>
        <w:rFonts w:hint="default"/>
      </w:rPr>
    </w:lvl>
    <w:lvl w:ilvl="4">
      <w:start w:val="1"/>
      <w:numFmt w:val="lowerLetter"/>
      <w:pStyle w:val="PermitCdna0"/>
      <w:lvlText w:val="(%5)"/>
      <w:lvlJc w:val="left"/>
      <w:pPr>
        <w:tabs>
          <w:tab w:val="num" w:pos="2736"/>
        </w:tabs>
        <w:ind w:left="2520" w:hanging="504"/>
      </w:pPr>
      <w:rPr>
        <w:rFonts w:hint="default"/>
      </w:rPr>
    </w:lvl>
    <w:lvl w:ilvl="5">
      <w:start w:val="1"/>
      <w:numFmt w:val="lowerRoman"/>
      <w:lvlText w:val="(%6)"/>
      <w:lvlJc w:val="left"/>
      <w:pPr>
        <w:tabs>
          <w:tab w:val="num" w:pos="3240"/>
        </w:tabs>
        <w:ind w:left="3024" w:hanging="504"/>
      </w:pPr>
      <w:rPr>
        <w:rFonts w:hint="default"/>
      </w:rPr>
    </w:lvl>
    <w:lvl w:ilvl="6">
      <w:start w:val="1"/>
      <w:numFmt w:val="decimal"/>
      <w:lvlText w:val="%7."/>
      <w:lvlJc w:val="left"/>
      <w:pPr>
        <w:tabs>
          <w:tab w:val="num" w:pos="3528"/>
        </w:tabs>
        <w:ind w:left="3528" w:hanging="504"/>
      </w:pPr>
      <w:rPr>
        <w:rFonts w:hint="default"/>
      </w:rPr>
    </w:lvl>
    <w:lvl w:ilvl="7">
      <w:start w:val="1"/>
      <w:numFmt w:val="lowerLetter"/>
      <w:lvlText w:val="%8."/>
      <w:lvlJc w:val="left"/>
      <w:pPr>
        <w:tabs>
          <w:tab w:val="num" w:pos="4032"/>
        </w:tabs>
        <w:ind w:left="4032" w:hanging="504"/>
      </w:pPr>
      <w:rPr>
        <w:rFonts w:hint="default"/>
      </w:rPr>
    </w:lvl>
    <w:lvl w:ilvl="8">
      <w:start w:val="1"/>
      <w:numFmt w:val="lowerRoman"/>
      <w:lvlText w:val="%9."/>
      <w:lvlJc w:val="left"/>
      <w:pPr>
        <w:tabs>
          <w:tab w:val="num" w:pos="4752"/>
        </w:tabs>
        <w:ind w:left="4536" w:hanging="504"/>
      </w:pPr>
      <w:rPr>
        <w:rFonts w:hint="default"/>
      </w:rPr>
    </w:lvl>
  </w:abstractNum>
  <w:num w:numId="1">
    <w:abstractNumId w:val="3"/>
  </w:num>
  <w:num w:numId="2">
    <w:abstractNumId w:val="0"/>
  </w:num>
  <w:num w:numId="3">
    <w:abstractNumId w:val="1"/>
  </w:num>
  <w:num w:numId="4">
    <w:abstractNumId w:val="2"/>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4D"/>
    <w:rsid w:val="00021D79"/>
    <w:rsid w:val="00044F41"/>
    <w:rsid w:val="00060920"/>
    <w:rsid w:val="0007470A"/>
    <w:rsid w:val="000D2E44"/>
    <w:rsid w:val="00105DD3"/>
    <w:rsid w:val="00134CCE"/>
    <w:rsid w:val="00156004"/>
    <w:rsid w:val="00196EC3"/>
    <w:rsid w:val="001D0AE7"/>
    <w:rsid w:val="001D6BA1"/>
    <w:rsid w:val="001E68F6"/>
    <w:rsid w:val="00215C75"/>
    <w:rsid w:val="00255E5F"/>
    <w:rsid w:val="00265258"/>
    <w:rsid w:val="002A7735"/>
    <w:rsid w:val="002E557D"/>
    <w:rsid w:val="002F2432"/>
    <w:rsid w:val="00330CE5"/>
    <w:rsid w:val="00346C54"/>
    <w:rsid w:val="003518E9"/>
    <w:rsid w:val="003635E9"/>
    <w:rsid w:val="003F5F19"/>
    <w:rsid w:val="003F6561"/>
    <w:rsid w:val="00440C45"/>
    <w:rsid w:val="00445410"/>
    <w:rsid w:val="0045454D"/>
    <w:rsid w:val="00471481"/>
    <w:rsid w:val="004E4B60"/>
    <w:rsid w:val="00570495"/>
    <w:rsid w:val="005766D5"/>
    <w:rsid w:val="0058433A"/>
    <w:rsid w:val="005D748B"/>
    <w:rsid w:val="005F539A"/>
    <w:rsid w:val="006346E1"/>
    <w:rsid w:val="00677684"/>
    <w:rsid w:val="00686841"/>
    <w:rsid w:val="006A0601"/>
    <w:rsid w:val="006E0BD3"/>
    <w:rsid w:val="00757F7C"/>
    <w:rsid w:val="00792F70"/>
    <w:rsid w:val="00882567"/>
    <w:rsid w:val="0088288A"/>
    <w:rsid w:val="00894E6C"/>
    <w:rsid w:val="008A0007"/>
    <w:rsid w:val="008A14E3"/>
    <w:rsid w:val="00935A6B"/>
    <w:rsid w:val="00943A7A"/>
    <w:rsid w:val="00957FB7"/>
    <w:rsid w:val="00963405"/>
    <w:rsid w:val="009B228A"/>
    <w:rsid w:val="00A112D1"/>
    <w:rsid w:val="00A1663D"/>
    <w:rsid w:val="00A179A3"/>
    <w:rsid w:val="00A21F35"/>
    <w:rsid w:val="00A312C7"/>
    <w:rsid w:val="00A32668"/>
    <w:rsid w:val="00A406DA"/>
    <w:rsid w:val="00AB6441"/>
    <w:rsid w:val="00AE79F5"/>
    <w:rsid w:val="00AF50A2"/>
    <w:rsid w:val="00C355AC"/>
    <w:rsid w:val="00C4735D"/>
    <w:rsid w:val="00CA4A47"/>
    <w:rsid w:val="00CB4510"/>
    <w:rsid w:val="00CC3DC3"/>
    <w:rsid w:val="00DA3969"/>
    <w:rsid w:val="00DA7B44"/>
    <w:rsid w:val="00E90074"/>
    <w:rsid w:val="00EA76E2"/>
    <w:rsid w:val="00EC664F"/>
    <w:rsid w:val="00ED2A28"/>
    <w:rsid w:val="00F11C9C"/>
    <w:rsid w:val="00F2424F"/>
    <w:rsid w:val="00F61C33"/>
    <w:rsid w:val="00FA5703"/>
    <w:rsid w:val="00FC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F38E"/>
  <w15:chartTrackingRefBased/>
  <w15:docId w15:val="{E4E6E2DC-86AB-42EB-8CDE-E0F8C312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96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6EC3"/>
    <w:pPr>
      <w:tabs>
        <w:tab w:val="center" w:pos="4320"/>
        <w:tab w:val="right" w:pos="8640"/>
      </w:tabs>
      <w:jc w:val="right"/>
    </w:pPr>
    <w:rPr>
      <w:rFonts w:eastAsia="Times New Roman" w:cs="Times New Roman"/>
      <w:sz w:val="20"/>
      <w:szCs w:val="20"/>
    </w:rPr>
  </w:style>
  <w:style w:type="character" w:customStyle="1" w:styleId="HeaderChar">
    <w:name w:val="Header Char"/>
    <w:basedOn w:val="DefaultParagraphFont"/>
    <w:link w:val="Header"/>
    <w:rsid w:val="00196EC3"/>
    <w:rPr>
      <w:rFonts w:ascii="Times New Roman" w:eastAsia="Times New Roman" w:hAnsi="Times New Roman" w:cs="Times New Roman"/>
      <w:sz w:val="20"/>
      <w:szCs w:val="20"/>
    </w:rPr>
  </w:style>
  <w:style w:type="paragraph" w:customStyle="1" w:styleId="LetterheadBRRO">
    <w:name w:val="Letterhead BRRO"/>
    <w:rsid w:val="00196EC3"/>
    <w:pPr>
      <w:spacing w:after="0" w:line="240" w:lineRule="auto"/>
      <w:jc w:val="center"/>
    </w:pPr>
    <w:rPr>
      <w:rFonts w:ascii="Times New Roman" w:eastAsia="Times New Roman" w:hAnsi="Times New Roman" w:cs="Times New Roman"/>
      <w:color w:val="000099"/>
      <w:sz w:val="28"/>
      <w:szCs w:val="28"/>
    </w:rPr>
  </w:style>
  <w:style w:type="paragraph" w:customStyle="1" w:styleId="LetterheadCoVA">
    <w:name w:val="Letterhead CoVA"/>
    <w:rsid w:val="00196EC3"/>
    <w:pPr>
      <w:spacing w:after="120" w:line="240" w:lineRule="auto"/>
      <w:ind w:left="360"/>
      <w:jc w:val="center"/>
    </w:pPr>
    <w:rPr>
      <w:rFonts w:ascii="ACaslon Regular" w:eastAsia="Times New Roman" w:hAnsi="ACaslon Regular" w:cs="Times New Roman"/>
      <w:i/>
      <w:color w:val="000099"/>
      <w:sz w:val="40"/>
      <w:szCs w:val="20"/>
    </w:rPr>
  </w:style>
  <w:style w:type="paragraph" w:customStyle="1" w:styleId="LetterheadDate">
    <w:name w:val="Letterhead Date"/>
    <w:next w:val="Normal"/>
    <w:rsid w:val="00196EC3"/>
    <w:pPr>
      <w:spacing w:after="0" w:line="240" w:lineRule="auto"/>
      <w:jc w:val="center"/>
    </w:pPr>
    <w:rPr>
      <w:rFonts w:ascii="Times New Roman" w:eastAsia="Times New Roman" w:hAnsi="Times New Roman" w:cs="Times New Roman"/>
      <w:color w:val="000099"/>
      <w:sz w:val="24"/>
      <w:szCs w:val="24"/>
    </w:rPr>
  </w:style>
  <w:style w:type="paragraph" w:customStyle="1" w:styleId="LetterheadDEQ">
    <w:name w:val="Letterhead DEQ"/>
    <w:rsid w:val="00196EC3"/>
    <w:pPr>
      <w:spacing w:after="0" w:line="240" w:lineRule="auto"/>
      <w:ind w:left="360"/>
      <w:jc w:val="center"/>
    </w:pPr>
    <w:rPr>
      <w:rFonts w:ascii="CG Times" w:eastAsia="Times New Roman" w:hAnsi="CG Times" w:cs="Times New Roman"/>
      <w:b/>
      <w:color w:val="000099"/>
      <w:sz w:val="24"/>
      <w:szCs w:val="24"/>
    </w:rPr>
  </w:style>
  <w:style w:type="paragraph" w:customStyle="1" w:styleId="LetterheadNames">
    <w:name w:val="Letterhead Names"/>
    <w:next w:val="Normal"/>
    <w:rsid w:val="00196EC3"/>
    <w:pPr>
      <w:spacing w:after="0" w:line="240" w:lineRule="auto"/>
      <w:jc w:val="center"/>
    </w:pPr>
    <w:rPr>
      <w:rFonts w:ascii="Times New Roman" w:eastAsia="Times New Roman" w:hAnsi="Times New Roman" w:cs="Times New Roman"/>
      <w:color w:val="000099"/>
      <w:sz w:val="16"/>
      <w:szCs w:val="24"/>
    </w:rPr>
  </w:style>
  <w:style w:type="paragraph" w:customStyle="1" w:styleId="LetterheadOffice">
    <w:name w:val="Letterhead Office"/>
    <w:next w:val="Normal"/>
    <w:rsid w:val="00196EC3"/>
    <w:pPr>
      <w:spacing w:after="0" w:line="240" w:lineRule="auto"/>
      <w:jc w:val="right"/>
    </w:pPr>
    <w:rPr>
      <w:rFonts w:ascii="Times New Roman" w:eastAsia="Times New Roman" w:hAnsi="Times New Roman" w:cs="Times New Roman"/>
      <w:color w:val="000099"/>
      <w:sz w:val="18"/>
      <w:szCs w:val="18"/>
    </w:rPr>
  </w:style>
  <w:style w:type="paragraph" w:customStyle="1" w:styleId="LetterheadWebsite">
    <w:name w:val="Letterhead Website"/>
    <w:rsid w:val="00196EC3"/>
    <w:pPr>
      <w:spacing w:after="0" w:line="240" w:lineRule="auto"/>
      <w:jc w:val="center"/>
    </w:pPr>
    <w:rPr>
      <w:rFonts w:ascii="Times New Roman" w:eastAsia="Times New Roman" w:hAnsi="Times New Roman" w:cs="Times New Roman"/>
      <w:color w:val="000099"/>
      <w:sz w:val="20"/>
      <w:szCs w:val="24"/>
    </w:rPr>
  </w:style>
  <w:style w:type="paragraph" w:customStyle="1" w:styleId="MemoLevel1">
    <w:name w:val="Memo Level 1"/>
    <w:next w:val="Normal"/>
    <w:rsid w:val="00196EC3"/>
    <w:pPr>
      <w:numPr>
        <w:numId w:val="1"/>
      </w:numPr>
      <w:tabs>
        <w:tab w:val="left" w:pos="576"/>
      </w:tabs>
      <w:spacing w:after="0" w:line="240" w:lineRule="auto"/>
      <w:outlineLvl w:val="0"/>
    </w:pPr>
    <w:rPr>
      <w:rFonts w:ascii="Times New Roman" w:eastAsia="Times New Roman" w:hAnsi="Times New Roman"/>
      <w:b/>
      <w:sz w:val="24"/>
      <w:szCs w:val="20"/>
    </w:rPr>
  </w:style>
  <w:style w:type="paragraph" w:customStyle="1" w:styleId="MemoLevel1Indent">
    <w:name w:val="Memo Level 1 Indent"/>
    <w:rsid w:val="00196EC3"/>
    <w:pPr>
      <w:widowControl w:val="0"/>
      <w:spacing w:after="0" w:line="240" w:lineRule="auto"/>
      <w:ind w:left="576"/>
    </w:pPr>
    <w:rPr>
      <w:rFonts w:ascii="Times New Roman" w:eastAsia="Times New Roman" w:hAnsi="Times New Roman"/>
      <w:sz w:val="24"/>
      <w:szCs w:val="24"/>
    </w:rPr>
  </w:style>
  <w:style w:type="paragraph" w:customStyle="1" w:styleId="MemoLevel2">
    <w:name w:val="Memo Level 2"/>
    <w:next w:val="Normal"/>
    <w:rsid w:val="00196EC3"/>
    <w:pPr>
      <w:numPr>
        <w:ilvl w:val="1"/>
        <w:numId w:val="1"/>
      </w:numPr>
      <w:tabs>
        <w:tab w:val="left" w:pos="-1440"/>
      </w:tabs>
      <w:spacing w:after="0" w:line="240" w:lineRule="auto"/>
      <w:outlineLvl w:val="1"/>
    </w:pPr>
    <w:rPr>
      <w:rFonts w:ascii="Times New Roman" w:eastAsia="Times New Roman" w:hAnsi="Times New Roman"/>
      <w:sz w:val="24"/>
      <w:szCs w:val="20"/>
      <w:u w:val="single"/>
    </w:rPr>
  </w:style>
  <w:style w:type="paragraph" w:customStyle="1" w:styleId="MemoLevel2Indent">
    <w:name w:val="Memo Level 2 Indent"/>
    <w:rsid w:val="00196EC3"/>
    <w:pPr>
      <w:tabs>
        <w:tab w:val="left" w:pos="-1440"/>
      </w:tabs>
      <w:spacing w:after="0" w:line="240" w:lineRule="auto"/>
      <w:ind w:left="864"/>
    </w:pPr>
    <w:rPr>
      <w:rFonts w:ascii="Times New Roman" w:eastAsia="Times New Roman" w:hAnsi="Times New Roman"/>
      <w:sz w:val="24"/>
      <w:szCs w:val="20"/>
    </w:rPr>
  </w:style>
  <w:style w:type="paragraph" w:customStyle="1" w:styleId="MemoSubsectionHeading">
    <w:name w:val="Memo Subsection Heading"/>
    <w:rsid w:val="00196EC3"/>
    <w:pPr>
      <w:spacing w:after="0" w:line="240" w:lineRule="auto"/>
    </w:pPr>
    <w:rPr>
      <w:rFonts w:ascii="Times New Roman" w:eastAsia="Times New Roman" w:hAnsi="Times New Roman" w:cs="Times New Roman"/>
      <w:sz w:val="24"/>
      <w:szCs w:val="20"/>
      <w:u w:val="single"/>
    </w:rPr>
  </w:style>
  <w:style w:type="character" w:styleId="PageNumber">
    <w:name w:val="page number"/>
    <w:basedOn w:val="DefaultParagraphFont"/>
    <w:rsid w:val="00196EC3"/>
  </w:style>
  <w:style w:type="paragraph" w:customStyle="1" w:styleId="PermitHeading1">
    <w:name w:val="Permit Heading 1"/>
    <w:next w:val="Normal"/>
    <w:qFormat/>
    <w:rsid w:val="00196EC3"/>
    <w:pPr>
      <w:tabs>
        <w:tab w:val="left" w:pos="1620"/>
      </w:tabs>
      <w:spacing w:after="0" w:line="240" w:lineRule="auto"/>
      <w:outlineLvl w:val="0"/>
    </w:pPr>
    <w:rPr>
      <w:rFonts w:ascii="Times New Roman" w:eastAsia="Times New Roman" w:hAnsi="Times New Roman" w:cs="Arial"/>
      <w:b/>
      <w:bCs/>
      <w:kern w:val="32"/>
      <w:sz w:val="28"/>
      <w:szCs w:val="28"/>
    </w:rPr>
  </w:style>
  <w:style w:type="paragraph" w:customStyle="1" w:styleId="PermitHeading2">
    <w:name w:val="Permit Heading 2"/>
    <w:next w:val="Normal"/>
    <w:qFormat/>
    <w:rsid w:val="00196EC3"/>
    <w:pPr>
      <w:widowControl w:val="0"/>
      <w:spacing w:after="0" w:line="240" w:lineRule="auto"/>
      <w:outlineLvl w:val="1"/>
    </w:pPr>
    <w:rPr>
      <w:rFonts w:ascii="Times New Roman" w:eastAsia="Times New Roman" w:hAnsi="Times New Roman" w:cs="Arial"/>
      <w:b/>
      <w:bCs/>
      <w:iCs/>
      <w:sz w:val="24"/>
      <w:szCs w:val="28"/>
    </w:rPr>
  </w:style>
  <w:style w:type="paragraph" w:customStyle="1" w:styleId="PermitLevel1">
    <w:name w:val="Permit Level 1"/>
    <w:next w:val="Normal"/>
    <w:rsid w:val="00196EC3"/>
    <w:pPr>
      <w:spacing w:after="0" w:line="240" w:lineRule="auto"/>
      <w:outlineLvl w:val="2"/>
    </w:pPr>
    <w:rPr>
      <w:rFonts w:ascii="Times New Roman" w:eastAsia="Times New Roman" w:hAnsi="Times New Roman"/>
      <w:sz w:val="24"/>
      <w:szCs w:val="20"/>
    </w:rPr>
  </w:style>
  <w:style w:type="paragraph" w:customStyle="1" w:styleId="PermitLevel1Indent">
    <w:name w:val="Permit Level 1 Indent"/>
    <w:rsid w:val="00196EC3"/>
    <w:pPr>
      <w:spacing w:after="0" w:line="240" w:lineRule="auto"/>
      <w:ind w:left="504"/>
    </w:pPr>
    <w:rPr>
      <w:rFonts w:ascii="Times New Roman" w:eastAsia="Times New Roman" w:hAnsi="Times New Roman"/>
      <w:sz w:val="24"/>
      <w:szCs w:val="20"/>
    </w:rPr>
  </w:style>
  <w:style w:type="paragraph" w:customStyle="1" w:styleId="PermitLevel2">
    <w:name w:val="Permit Level 2"/>
    <w:next w:val="Normal"/>
    <w:rsid w:val="00196EC3"/>
    <w:pPr>
      <w:spacing w:after="0" w:line="240" w:lineRule="auto"/>
      <w:outlineLvl w:val="3"/>
    </w:pPr>
    <w:rPr>
      <w:rFonts w:ascii="Times New Roman" w:eastAsia="Times New Roman" w:hAnsi="Times New Roman"/>
      <w:sz w:val="24"/>
      <w:szCs w:val="20"/>
    </w:rPr>
  </w:style>
  <w:style w:type="paragraph" w:customStyle="1" w:styleId="PermitLevel2Indent">
    <w:name w:val="Permit Level 2 Indent"/>
    <w:next w:val="Normal"/>
    <w:rsid w:val="00196EC3"/>
    <w:pPr>
      <w:spacing w:after="0" w:line="240" w:lineRule="auto"/>
      <w:ind w:left="1008"/>
    </w:pPr>
    <w:rPr>
      <w:rFonts w:ascii="Times New Roman" w:eastAsia="Times New Roman" w:hAnsi="Times New Roman"/>
      <w:sz w:val="24"/>
      <w:szCs w:val="20"/>
    </w:rPr>
  </w:style>
  <w:style w:type="paragraph" w:customStyle="1" w:styleId="PermitLevel3">
    <w:name w:val="Permit Level 3"/>
    <w:next w:val="Normal"/>
    <w:rsid w:val="00196EC3"/>
    <w:pPr>
      <w:spacing w:after="0" w:line="240" w:lineRule="auto"/>
      <w:outlineLvl w:val="4"/>
    </w:pPr>
    <w:rPr>
      <w:rFonts w:ascii="Times New Roman" w:eastAsia="Times New Roman" w:hAnsi="Times New Roman"/>
      <w:sz w:val="24"/>
      <w:szCs w:val="20"/>
    </w:rPr>
  </w:style>
  <w:style w:type="paragraph" w:customStyle="1" w:styleId="PermitLevel3Indent">
    <w:name w:val="Permit Level 3 Indent"/>
    <w:rsid w:val="00196EC3"/>
    <w:pPr>
      <w:spacing w:after="0" w:line="240" w:lineRule="auto"/>
      <w:ind w:left="1512"/>
    </w:pPr>
    <w:rPr>
      <w:rFonts w:ascii="Times New Roman" w:eastAsia="Times New Roman" w:hAnsi="Times New Roman"/>
      <w:sz w:val="24"/>
      <w:szCs w:val="20"/>
    </w:rPr>
  </w:style>
  <w:style w:type="paragraph" w:customStyle="1" w:styleId="PermitLevel4">
    <w:name w:val="Permit Level 4"/>
    <w:qFormat/>
    <w:rsid w:val="00196EC3"/>
    <w:pPr>
      <w:tabs>
        <w:tab w:val="left" w:pos="2070"/>
      </w:tabs>
      <w:spacing w:after="0" w:line="240" w:lineRule="auto"/>
      <w:outlineLvl w:val="5"/>
    </w:pPr>
    <w:rPr>
      <w:rFonts w:ascii="Times New Roman" w:eastAsia="Times New Roman" w:hAnsi="Times New Roman" w:cs="Times New Roman"/>
      <w:sz w:val="24"/>
      <w:szCs w:val="20"/>
    </w:rPr>
  </w:style>
  <w:style w:type="paragraph" w:customStyle="1" w:styleId="PermitLevel4Indent">
    <w:name w:val="Permit Level 4 Indent"/>
    <w:qFormat/>
    <w:rsid w:val="00196EC3"/>
    <w:pPr>
      <w:spacing w:after="0" w:line="240" w:lineRule="auto"/>
      <w:ind w:left="1980"/>
    </w:pPr>
    <w:rPr>
      <w:rFonts w:ascii="Times New Roman" w:eastAsia="Times New Roman" w:hAnsi="Times New Roman" w:cs="Times New Roman"/>
      <w:sz w:val="24"/>
      <w:szCs w:val="24"/>
    </w:rPr>
  </w:style>
  <w:style w:type="paragraph" w:customStyle="1" w:styleId="PermitTable">
    <w:name w:val="Permit Table"/>
    <w:qFormat/>
    <w:rsid w:val="00196EC3"/>
    <w:pPr>
      <w:spacing w:after="0" w:line="240" w:lineRule="auto"/>
    </w:pPr>
    <w:rPr>
      <w:rFonts w:ascii="Times New Roman" w:eastAsia="Times New Roman" w:hAnsi="Times New Roman" w:cs="Times New Roman"/>
      <w:sz w:val="20"/>
      <w:szCs w:val="20"/>
    </w:rPr>
  </w:style>
  <w:style w:type="paragraph" w:customStyle="1" w:styleId="PermitTableHeadings">
    <w:name w:val="Permit Table Headings"/>
    <w:qFormat/>
    <w:rsid w:val="00196EC3"/>
    <w:pPr>
      <w:spacing w:after="0" w:line="240" w:lineRule="auto"/>
      <w:jc w:val="center"/>
    </w:pPr>
    <w:rPr>
      <w:rFonts w:ascii="Times New Roman" w:eastAsia="Times New Roman" w:hAnsi="Times New Roman" w:cs="Tahoma"/>
      <w:b/>
      <w:szCs w:val="16"/>
    </w:rPr>
  </w:style>
  <w:style w:type="paragraph" w:customStyle="1" w:styleId="T5Level1">
    <w:name w:val="T5 Level 1"/>
    <w:next w:val="Normal"/>
    <w:qFormat/>
    <w:rsid w:val="00196EC3"/>
    <w:pPr>
      <w:widowControl w:val="0"/>
      <w:numPr>
        <w:numId w:val="2"/>
      </w:numPr>
      <w:tabs>
        <w:tab w:val="left" w:pos="792"/>
        <w:tab w:val="left" w:pos="864"/>
      </w:tabs>
      <w:spacing w:after="0" w:line="240" w:lineRule="auto"/>
      <w:outlineLvl w:val="0"/>
    </w:pPr>
    <w:rPr>
      <w:rFonts w:ascii="Times New Roman" w:eastAsia="Times New Roman" w:hAnsi="Times New Roman"/>
      <w:b/>
      <w:kern w:val="28"/>
      <w:sz w:val="28"/>
      <w:szCs w:val="20"/>
    </w:rPr>
  </w:style>
  <w:style w:type="paragraph" w:customStyle="1" w:styleId="T5Level1Indent">
    <w:name w:val="T5 Level 1 Indent"/>
    <w:next w:val="Normal"/>
    <w:rsid w:val="00196EC3"/>
    <w:pPr>
      <w:widowControl w:val="0"/>
      <w:spacing w:after="0" w:line="240" w:lineRule="auto"/>
      <w:ind w:left="288"/>
    </w:pPr>
    <w:rPr>
      <w:rFonts w:ascii="Times New Roman" w:eastAsia="Times New Roman" w:hAnsi="Times New Roman"/>
      <w:sz w:val="24"/>
      <w:szCs w:val="24"/>
    </w:rPr>
  </w:style>
  <w:style w:type="paragraph" w:customStyle="1" w:styleId="T5Level2">
    <w:name w:val="T5 Level 2"/>
    <w:next w:val="Normal"/>
    <w:qFormat/>
    <w:rsid w:val="00196EC3"/>
    <w:pPr>
      <w:widowControl w:val="0"/>
      <w:numPr>
        <w:ilvl w:val="1"/>
        <w:numId w:val="2"/>
      </w:numPr>
      <w:tabs>
        <w:tab w:val="left" w:pos="864"/>
      </w:tabs>
      <w:spacing w:after="0" w:line="240" w:lineRule="auto"/>
      <w:outlineLvl w:val="1"/>
    </w:pPr>
    <w:rPr>
      <w:rFonts w:ascii="Times New Roman" w:eastAsia="Times New Roman" w:hAnsi="Times New Roman"/>
      <w:b/>
      <w:sz w:val="24"/>
      <w:szCs w:val="20"/>
    </w:rPr>
  </w:style>
  <w:style w:type="paragraph" w:customStyle="1" w:styleId="T5Level2Indent">
    <w:name w:val="T5 Level 2 Indent"/>
    <w:rsid w:val="00196EC3"/>
    <w:pPr>
      <w:widowControl w:val="0"/>
      <w:spacing w:after="0" w:line="240" w:lineRule="auto"/>
      <w:ind w:left="720"/>
    </w:pPr>
    <w:rPr>
      <w:rFonts w:ascii="Times New Roman" w:eastAsia="Times New Roman" w:hAnsi="Times New Roman"/>
      <w:sz w:val="24"/>
      <w:szCs w:val="24"/>
    </w:rPr>
  </w:style>
  <w:style w:type="paragraph" w:customStyle="1" w:styleId="T5Level3">
    <w:name w:val="T5 Level 3"/>
    <w:next w:val="Normal"/>
    <w:qFormat/>
    <w:rsid w:val="00196EC3"/>
    <w:pPr>
      <w:widowControl w:val="0"/>
      <w:numPr>
        <w:ilvl w:val="2"/>
        <w:numId w:val="2"/>
      </w:numPr>
      <w:spacing w:after="0" w:line="240" w:lineRule="auto"/>
    </w:pPr>
    <w:rPr>
      <w:rFonts w:ascii="Times New Roman" w:eastAsia="Times New Roman" w:hAnsi="Times New Roman"/>
      <w:sz w:val="24"/>
      <w:szCs w:val="20"/>
    </w:rPr>
  </w:style>
  <w:style w:type="paragraph" w:customStyle="1" w:styleId="T5Level3Indent">
    <w:name w:val="T5 Level 3 Indent"/>
    <w:next w:val="Normal"/>
    <w:rsid w:val="00196EC3"/>
    <w:pPr>
      <w:widowControl w:val="0"/>
      <w:spacing w:after="0" w:line="240" w:lineRule="auto"/>
      <w:ind w:left="1080"/>
    </w:pPr>
    <w:rPr>
      <w:rFonts w:ascii="Times New Roman" w:eastAsia="Times New Roman" w:hAnsi="Times New Roman"/>
      <w:sz w:val="24"/>
      <w:szCs w:val="24"/>
    </w:rPr>
  </w:style>
  <w:style w:type="paragraph" w:customStyle="1" w:styleId="T5Level4">
    <w:name w:val="T5 Level 4"/>
    <w:next w:val="Normal"/>
    <w:qFormat/>
    <w:rsid w:val="00196EC3"/>
    <w:pPr>
      <w:widowControl w:val="0"/>
      <w:numPr>
        <w:ilvl w:val="3"/>
        <w:numId w:val="2"/>
      </w:numPr>
      <w:spacing w:after="0" w:line="240" w:lineRule="auto"/>
    </w:pPr>
    <w:rPr>
      <w:rFonts w:ascii="Times New Roman" w:eastAsia="Times New Roman" w:hAnsi="Times New Roman"/>
      <w:sz w:val="24"/>
      <w:szCs w:val="20"/>
    </w:rPr>
  </w:style>
  <w:style w:type="paragraph" w:customStyle="1" w:styleId="T5Level4Indent">
    <w:name w:val="T5 Level 4 Indent"/>
    <w:next w:val="Normal"/>
    <w:rsid w:val="00196EC3"/>
    <w:pPr>
      <w:widowControl w:val="0"/>
      <w:spacing w:after="0" w:line="240" w:lineRule="auto"/>
      <w:ind w:left="1440"/>
    </w:pPr>
    <w:rPr>
      <w:rFonts w:ascii="Times New Roman" w:eastAsia="Times New Roman" w:hAnsi="Times New Roman"/>
      <w:sz w:val="24"/>
      <w:szCs w:val="24"/>
    </w:rPr>
  </w:style>
  <w:style w:type="paragraph" w:customStyle="1" w:styleId="T5Level5">
    <w:name w:val="T5 Level 5"/>
    <w:next w:val="Normal"/>
    <w:qFormat/>
    <w:rsid w:val="00196EC3"/>
    <w:pPr>
      <w:widowControl w:val="0"/>
      <w:numPr>
        <w:ilvl w:val="4"/>
        <w:numId w:val="2"/>
      </w:numPr>
      <w:spacing w:after="0" w:line="240" w:lineRule="auto"/>
    </w:pPr>
    <w:rPr>
      <w:rFonts w:ascii="Times New Roman" w:eastAsia="Times New Roman" w:hAnsi="Times New Roman"/>
      <w:sz w:val="24"/>
      <w:szCs w:val="20"/>
    </w:rPr>
  </w:style>
  <w:style w:type="paragraph" w:customStyle="1" w:styleId="T5Level5Indent">
    <w:name w:val="T5 Level 5 Indent"/>
    <w:next w:val="Normal"/>
    <w:rsid w:val="00196EC3"/>
    <w:pPr>
      <w:widowControl w:val="0"/>
      <w:spacing w:after="0" w:line="240" w:lineRule="auto"/>
      <w:ind w:left="1800"/>
    </w:pPr>
    <w:rPr>
      <w:rFonts w:ascii="Times New Roman" w:eastAsia="Times New Roman" w:hAnsi="Times New Roman"/>
      <w:sz w:val="24"/>
      <w:szCs w:val="24"/>
    </w:rPr>
  </w:style>
  <w:style w:type="paragraph" w:customStyle="1" w:styleId="T5Level6">
    <w:name w:val="T5 Level 6"/>
    <w:next w:val="Normal"/>
    <w:qFormat/>
    <w:rsid w:val="00196EC3"/>
    <w:pPr>
      <w:widowControl w:val="0"/>
      <w:numPr>
        <w:ilvl w:val="5"/>
        <w:numId w:val="2"/>
      </w:numPr>
      <w:spacing w:after="0" w:line="240" w:lineRule="auto"/>
    </w:pPr>
    <w:rPr>
      <w:rFonts w:ascii="Times New Roman" w:eastAsia="Times New Roman" w:hAnsi="Times New Roman"/>
      <w:sz w:val="24"/>
      <w:szCs w:val="20"/>
    </w:rPr>
  </w:style>
  <w:style w:type="paragraph" w:customStyle="1" w:styleId="T5Level6Indent">
    <w:name w:val="T5 Level 6 Indent"/>
    <w:rsid w:val="00196EC3"/>
    <w:pPr>
      <w:widowControl w:val="0"/>
      <w:spacing w:after="0" w:line="240" w:lineRule="auto"/>
      <w:ind w:left="2160"/>
    </w:pPr>
    <w:rPr>
      <w:rFonts w:ascii="Times New Roman" w:eastAsia="Times New Roman" w:hAnsi="Times New Roman"/>
      <w:sz w:val="24"/>
      <w:szCs w:val="24"/>
    </w:rPr>
  </w:style>
  <w:style w:type="paragraph" w:customStyle="1" w:styleId="T5Level7">
    <w:name w:val="T5 Level 7"/>
    <w:next w:val="Normal"/>
    <w:rsid w:val="00196EC3"/>
    <w:pPr>
      <w:widowControl w:val="0"/>
      <w:numPr>
        <w:ilvl w:val="6"/>
        <w:numId w:val="2"/>
      </w:numPr>
      <w:tabs>
        <w:tab w:val="left" w:pos="2520"/>
      </w:tabs>
      <w:spacing w:after="0" w:line="240" w:lineRule="auto"/>
    </w:pPr>
    <w:rPr>
      <w:rFonts w:ascii="Times New Roman" w:eastAsia="Times New Roman" w:hAnsi="Times New Roman"/>
      <w:sz w:val="24"/>
      <w:szCs w:val="20"/>
    </w:rPr>
  </w:style>
  <w:style w:type="paragraph" w:customStyle="1" w:styleId="T5Level7Indent">
    <w:name w:val="T5 Level 7 Indent"/>
    <w:next w:val="Normal"/>
    <w:rsid w:val="00196EC3"/>
    <w:pPr>
      <w:widowControl w:val="0"/>
      <w:spacing w:after="0" w:line="240" w:lineRule="auto"/>
      <w:ind w:left="2520"/>
    </w:pPr>
    <w:rPr>
      <w:rFonts w:ascii="Times New Roman" w:eastAsia="Times New Roman" w:hAnsi="Times New Roman"/>
      <w:sz w:val="24"/>
      <w:szCs w:val="24"/>
    </w:rPr>
  </w:style>
  <w:style w:type="paragraph" w:customStyle="1" w:styleId="T5Level8">
    <w:name w:val="T5 Level 8"/>
    <w:next w:val="Normal"/>
    <w:rsid w:val="00196EC3"/>
    <w:pPr>
      <w:widowControl w:val="0"/>
      <w:numPr>
        <w:ilvl w:val="7"/>
        <w:numId w:val="2"/>
      </w:numPr>
      <w:spacing w:after="0" w:line="240" w:lineRule="auto"/>
    </w:pPr>
    <w:rPr>
      <w:rFonts w:ascii="Times New Roman" w:eastAsia="Times New Roman" w:hAnsi="Times New Roman"/>
      <w:sz w:val="24"/>
      <w:szCs w:val="20"/>
    </w:rPr>
  </w:style>
  <w:style w:type="paragraph" w:customStyle="1" w:styleId="T5Level8Indent">
    <w:name w:val="T5 Level 8 Indent"/>
    <w:next w:val="Normal"/>
    <w:rsid w:val="00196EC3"/>
    <w:pPr>
      <w:widowControl w:val="0"/>
      <w:spacing w:after="0" w:line="240" w:lineRule="auto"/>
      <w:ind w:left="2880"/>
    </w:pPr>
    <w:rPr>
      <w:rFonts w:ascii="Times New Roman" w:eastAsia="Times New Roman" w:hAnsi="Times New Roman"/>
      <w:sz w:val="24"/>
      <w:szCs w:val="24"/>
    </w:rPr>
  </w:style>
  <w:style w:type="paragraph" w:customStyle="1" w:styleId="T5Level9">
    <w:name w:val="T5 Level 9"/>
    <w:next w:val="Normal"/>
    <w:rsid w:val="00196EC3"/>
    <w:pPr>
      <w:widowControl w:val="0"/>
      <w:numPr>
        <w:ilvl w:val="8"/>
        <w:numId w:val="2"/>
      </w:numPr>
      <w:tabs>
        <w:tab w:val="left" w:pos="3168"/>
      </w:tabs>
      <w:spacing w:after="0" w:line="240" w:lineRule="auto"/>
    </w:pPr>
    <w:rPr>
      <w:rFonts w:ascii="Times New Roman" w:eastAsia="Times New Roman" w:hAnsi="Times New Roman"/>
      <w:sz w:val="24"/>
      <w:szCs w:val="20"/>
    </w:rPr>
  </w:style>
  <w:style w:type="paragraph" w:customStyle="1" w:styleId="T5Level9Indent">
    <w:name w:val="T5 Level 9 Indent"/>
    <w:next w:val="Normal"/>
    <w:rsid w:val="00196EC3"/>
    <w:pPr>
      <w:widowControl w:val="0"/>
      <w:spacing w:after="0" w:line="240" w:lineRule="auto"/>
      <w:ind w:left="3168"/>
    </w:pPr>
    <w:rPr>
      <w:rFonts w:ascii="Times New Roman" w:eastAsia="Times New Roman" w:hAnsi="Times New Roman"/>
      <w:sz w:val="24"/>
      <w:szCs w:val="24"/>
    </w:rPr>
  </w:style>
  <w:style w:type="paragraph" w:customStyle="1" w:styleId="T5Table">
    <w:name w:val="T5 Table"/>
    <w:basedOn w:val="Normal"/>
    <w:rsid w:val="00196EC3"/>
    <w:rPr>
      <w:rFonts w:eastAsia="Times New Roman"/>
      <w:sz w:val="20"/>
      <w:szCs w:val="20"/>
    </w:rPr>
  </w:style>
  <w:style w:type="paragraph" w:customStyle="1" w:styleId="T5TableHeadings">
    <w:name w:val="T5 Table Headings"/>
    <w:rsid w:val="00196EC3"/>
    <w:pPr>
      <w:spacing w:after="0" w:line="240" w:lineRule="auto"/>
      <w:jc w:val="center"/>
    </w:pPr>
    <w:rPr>
      <w:rFonts w:ascii="Times New Roman" w:eastAsia="Times New Roman" w:hAnsi="Times New Roman" w:cs="Tahoma"/>
      <w:b/>
      <w:sz w:val="24"/>
      <w:szCs w:val="16"/>
    </w:rPr>
  </w:style>
  <w:style w:type="table" w:styleId="TableGrid">
    <w:name w:val="Table Grid"/>
    <w:basedOn w:val="TableNormal"/>
    <w:uiPriority w:val="59"/>
    <w:rsid w:val="00196EC3"/>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OC1">
    <w:name w:val="toc 1"/>
    <w:next w:val="Normal"/>
    <w:uiPriority w:val="39"/>
    <w:qFormat/>
    <w:rsid w:val="00196EC3"/>
    <w:pPr>
      <w:tabs>
        <w:tab w:val="left" w:pos="576"/>
        <w:tab w:val="right" w:leader="dot" w:pos="9350"/>
      </w:tabs>
      <w:spacing w:after="0" w:line="240" w:lineRule="auto"/>
    </w:pPr>
    <w:rPr>
      <w:rFonts w:ascii="Times New Roman" w:eastAsia="Times New Roman" w:hAnsi="Times New Roman"/>
      <w:b/>
      <w:caps/>
      <w:sz w:val="24"/>
      <w:szCs w:val="24"/>
    </w:rPr>
  </w:style>
  <w:style w:type="paragraph" w:styleId="TOC2">
    <w:name w:val="toc 2"/>
    <w:next w:val="Normal"/>
    <w:uiPriority w:val="39"/>
    <w:qFormat/>
    <w:rsid w:val="00196EC3"/>
    <w:pPr>
      <w:tabs>
        <w:tab w:val="left" w:pos="648"/>
        <w:tab w:val="right" w:leader="dot" w:pos="9346"/>
      </w:tabs>
      <w:spacing w:after="0" w:line="240" w:lineRule="auto"/>
      <w:ind w:left="245"/>
    </w:pPr>
    <w:rPr>
      <w:rFonts w:ascii="Times New Roman" w:eastAsia="Times New Roman" w:hAnsi="Times New Roman"/>
      <w:smallCaps/>
      <w:sz w:val="24"/>
      <w:szCs w:val="20"/>
    </w:rPr>
  </w:style>
  <w:style w:type="paragraph" w:styleId="TOC3">
    <w:name w:val="toc 3"/>
    <w:basedOn w:val="Normal"/>
    <w:next w:val="Normal"/>
    <w:autoRedefine/>
    <w:uiPriority w:val="39"/>
    <w:qFormat/>
    <w:rsid w:val="00196EC3"/>
    <w:pPr>
      <w:tabs>
        <w:tab w:val="left" w:pos="864"/>
        <w:tab w:val="right" w:leader="dot" w:pos="9346"/>
      </w:tabs>
      <w:ind w:left="480"/>
    </w:pPr>
    <w:rPr>
      <w:rFonts w:eastAsia="Times New Roman"/>
      <w:i/>
      <w:iCs/>
      <w:sz w:val="20"/>
      <w:szCs w:val="20"/>
    </w:rPr>
  </w:style>
  <w:style w:type="paragraph" w:customStyle="1" w:styleId="LetterheadRegionalOffice">
    <w:name w:val="Letterhead Regional Office"/>
    <w:rsid w:val="00196EC3"/>
    <w:pPr>
      <w:spacing w:after="0" w:line="240" w:lineRule="auto"/>
      <w:jc w:val="center"/>
    </w:pPr>
    <w:rPr>
      <w:rFonts w:ascii="Times New Roman" w:eastAsia="Times New Roman" w:hAnsi="Times New Roman" w:cs="Times New Roman"/>
      <w:color w:val="000099"/>
      <w:sz w:val="28"/>
      <w:szCs w:val="28"/>
    </w:rPr>
  </w:style>
  <w:style w:type="paragraph" w:customStyle="1" w:styleId="PermitCdna0">
    <w:name w:val="Permit Cdn (a)"/>
    <w:next w:val="Normal"/>
    <w:qFormat/>
    <w:rsid w:val="00196EC3"/>
    <w:pPr>
      <w:numPr>
        <w:ilvl w:val="4"/>
        <w:numId w:val="5"/>
      </w:numPr>
      <w:spacing w:after="0" w:line="240" w:lineRule="auto"/>
    </w:pPr>
    <w:rPr>
      <w:rFonts w:ascii="Times New Roman" w:eastAsia="Times New Roman" w:hAnsi="Times New Roman" w:cs="Times New Roman"/>
      <w:sz w:val="24"/>
      <w:szCs w:val="24"/>
    </w:rPr>
  </w:style>
  <w:style w:type="paragraph" w:customStyle="1" w:styleId="PermitCdnaIndent">
    <w:name w:val="Permit Cdn (a) Indent"/>
    <w:next w:val="Normal"/>
    <w:qFormat/>
    <w:rsid w:val="00196EC3"/>
    <w:pPr>
      <w:spacing w:after="0" w:line="240" w:lineRule="auto"/>
      <w:ind w:left="2520"/>
    </w:pPr>
    <w:rPr>
      <w:rFonts w:ascii="Times New Roman" w:eastAsia="Times New Roman" w:hAnsi="Times New Roman" w:cs="Times New Roman"/>
      <w:sz w:val="24"/>
      <w:szCs w:val="24"/>
    </w:rPr>
  </w:style>
  <w:style w:type="paragraph" w:customStyle="1" w:styleId="PermitCdn1">
    <w:name w:val="Permit Cdn 1"/>
    <w:next w:val="Normal"/>
    <w:rsid w:val="00196EC3"/>
    <w:pPr>
      <w:numPr>
        <w:numId w:val="5"/>
      </w:numPr>
      <w:spacing w:after="0" w:line="240" w:lineRule="auto"/>
      <w:outlineLvl w:val="2"/>
    </w:pPr>
    <w:rPr>
      <w:rFonts w:ascii="Times New Roman" w:eastAsia="Times New Roman" w:hAnsi="Times New Roman"/>
      <w:sz w:val="24"/>
      <w:szCs w:val="20"/>
    </w:rPr>
  </w:style>
  <w:style w:type="paragraph" w:customStyle="1" w:styleId="PermitCdn1Indent">
    <w:name w:val="Permit Cdn 1 Indent"/>
    <w:rsid w:val="00196EC3"/>
    <w:pPr>
      <w:spacing w:after="0" w:line="240" w:lineRule="auto"/>
      <w:ind w:left="504"/>
    </w:pPr>
    <w:rPr>
      <w:rFonts w:ascii="Times New Roman" w:eastAsia="Times New Roman" w:hAnsi="Times New Roman"/>
      <w:sz w:val="24"/>
      <w:szCs w:val="20"/>
    </w:rPr>
  </w:style>
  <w:style w:type="paragraph" w:customStyle="1" w:styleId="PermitCdna">
    <w:name w:val="Permit Cdn a"/>
    <w:next w:val="Normal"/>
    <w:rsid w:val="00196EC3"/>
    <w:pPr>
      <w:numPr>
        <w:ilvl w:val="1"/>
        <w:numId w:val="5"/>
      </w:numPr>
      <w:spacing w:after="0" w:line="240" w:lineRule="auto"/>
      <w:outlineLvl w:val="3"/>
    </w:pPr>
    <w:rPr>
      <w:rFonts w:ascii="Times New Roman" w:eastAsia="Times New Roman" w:hAnsi="Times New Roman"/>
      <w:sz w:val="24"/>
      <w:szCs w:val="20"/>
    </w:rPr>
  </w:style>
  <w:style w:type="paragraph" w:customStyle="1" w:styleId="PermitCdnaIndent0">
    <w:name w:val="Permit Cdn a Indent"/>
    <w:next w:val="Normal"/>
    <w:rsid w:val="00196EC3"/>
    <w:pPr>
      <w:spacing w:after="0" w:line="240" w:lineRule="auto"/>
      <w:ind w:left="1008"/>
    </w:pPr>
    <w:rPr>
      <w:rFonts w:ascii="Times New Roman" w:eastAsia="Times New Roman" w:hAnsi="Times New Roman"/>
      <w:sz w:val="24"/>
      <w:szCs w:val="20"/>
    </w:rPr>
  </w:style>
  <w:style w:type="paragraph" w:customStyle="1" w:styleId="PermitCdni">
    <w:name w:val="Permit Cdn i"/>
    <w:next w:val="Normal"/>
    <w:rsid w:val="00196EC3"/>
    <w:pPr>
      <w:numPr>
        <w:ilvl w:val="2"/>
        <w:numId w:val="5"/>
      </w:numPr>
      <w:spacing w:after="0" w:line="240" w:lineRule="auto"/>
      <w:outlineLvl w:val="4"/>
    </w:pPr>
    <w:rPr>
      <w:rFonts w:ascii="Times New Roman" w:eastAsia="Times New Roman" w:hAnsi="Times New Roman"/>
      <w:sz w:val="24"/>
      <w:szCs w:val="20"/>
    </w:rPr>
  </w:style>
  <w:style w:type="paragraph" w:customStyle="1" w:styleId="PermitCdniIndent">
    <w:name w:val="Permit Cdn i Indent"/>
    <w:rsid w:val="00196EC3"/>
    <w:pPr>
      <w:spacing w:after="0" w:line="240" w:lineRule="auto"/>
      <w:ind w:left="1512"/>
    </w:pPr>
    <w:rPr>
      <w:rFonts w:ascii="Times New Roman" w:eastAsia="Times New Roman" w:hAnsi="Times New Roman"/>
      <w:sz w:val="24"/>
      <w:szCs w:val="20"/>
    </w:rPr>
  </w:style>
  <w:style w:type="paragraph" w:customStyle="1" w:styleId="PermitHeading-Limitations">
    <w:name w:val="Permit Heading - Limitations"/>
    <w:next w:val="Normal"/>
    <w:qFormat/>
    <w:rsid w:val="00196EC3"/>
    <w:pPr>
      <w:widowControl w:val="0"/>
      <w:spacing w:after="0" w:line="240" w:lineRule="auto"/>
      <w:outlineLvl w:val="1"/>
    </w:pPr>
    <w:rPr>
      <w:rFonts w:ascii="Times New Roman" w:eastAsia="Times New Roman" w:hAnsi="Times New Roman" w:cs="Arial"/>
      <w:b/>
      <w:bCs/>
      <w:iCs/>
      <w:sz w:val="24"/>
      <w:szCs w:val="28"/>
    </w:rPr>
  </w:style>
  <w:style w:type="paragraph" w:customStyle="1" w:styleId="PermitHeading-Sections">
    <w:name w:val="Permit Heading - Sections"/>
    <w:next w:val="Normal"/>
    <w:qFormat/>
    <w:rsid w:val="00196EC3"/>
    <w:pPr>
      <w:tabs>
        <w:tab w:val="left" w:pos="1620"/>
      </w:tabs>
      <w:spacing w:after="0" w:line="240" w:lineRule="auto"/>
      <w:outlineLvl w:val="0"/>
    </w:pPr>
    <w:rPr>
      <w:rFonts w:ascii="Times New Roman" w:eastAsia="Times New Roman" w:hAnsi="Times New Roman" w:cs="Arial"/>
      <w:b/>
      <w:bCs/>
      <w:kern w:val="32"/>
      <w:sz w:val="28"/>
      <w:szCs w:val="28"/>
    </w:rPr>
  </w:style>
  <w:style w:type="paragraph" w:customStyle="1" w:styleId="PermitHeadingsIndent">
    <w:name w:val="Permit Headings Indent"/>
    <w:next w:val="Normal"/>
    <w:qFormat/>
    <w:rsid w:val="00196EC3"/>
    <w:rPr>
      <w:rFonts w:ascii="Times New Roman" w:hAnsi="Times New Roman"/>
      <w:sz w:val="24"/>
    </w:rPr>
  </w:style>
  <w:style w:type="paragraph" w:customStyle="1" w:styleId="PermitHeadingIndent">
    <w:name w:val="Permit Heading Indent"/>
    <w:next w:val="Normal"/>
    <w:qFormat/>
    <w:rsid w:val="00196EC3"/>
    <w:pPr>
      <w:spacing w:after="0" w:line="240" w:lineRule="auto"/>
    </w:pPr>
    <w:rPr>
      <w:rFonts w:ascii="Times New Roman" w:hAnsi="Times New Roman"/>
      <w:sz w:val="24"/>
    </w:rPr>
  </w:style>
  <w:style w:type="paragraph" w:customStyle="1" w:styleId="PermitHeading-Indent">
    <w:name w:val="Permit Heading - Indent"/>
    <w:next w:val="Normal"/>
    <w:qFormat/>
    <w:rsid w:val="00196EC3"/>
    <w:pPr>
      <w:spacing w:after="0" w:line="240" w:lineRule="auto"/>
    </w:pPr>
    <w:rPr>
      <w:rFonts w:ascii="Times New Roman" w:hAnsi="Times New Roman"/>
      <w:sz w:val="24"/>
    </w:rPr>
  </w:style>
  <w:style w:type="paragraph" w:customStyle="1" w:styleId="ManualBodyText">
    <w:name w:val="Manual Body Text"/>
    <w:basedOn w:val="Normal"/>
    <w:qFormat/>
    <w:rsid w:val="00677684"/>
    <w:rPr>
      <w:rFonts w:eastAsia="Times New Roman" w:cs="Arial"/>
      <w:szCs w:val="20"/>
    </w:rPr>
  </w:style>
  <w:style w:type="paragraph" w:customStyle="1" w:styleId="ManualChapter">
    <w:name w:val="Manual Chapter"/>
    <w:next w:val="Normal"/>
    <w:rsid w:val="00F61C33"/>
    <w:pPr>
      <w:numPr>
        <w:numId w:val="15"/>
      </w:numPr>
      <w:spacing w:after="0" w:line="240" w:lineRule="auto"/>
      <w:outlineLvl w:val="0"/>
    </w:pPr>
    <w:rPr>
      <w:rFonts w:ascii="Times New Roman" w:eastAsia="Times New Roman" w:hAnsi="Times New Roman" w:cs="Arial"/>
      <w:b/>
      <w:bCs/>
      <w:kern w:val="32"/>
      <w:sz w:val="32"/>
      <w:szCs w:val="32"/>
    </w:rPr>
  </w:style>
  <w:style w:type="paragraph" w:customStyle="1" w:styleId="ManualSubsection1">
    <w:name w:val="Manual Subsection 1"/>
    <w:rsid w:val="00F61C33"/>
    <w:pPr>
      <w:numPr>
        <w:ilvl w:val="2"/>
        <w:numId w:val="15"/>
      </w:numPr>
      <w:spacing w:after="0" w:line="240" w:lineRule="auto"/>
      <w:outlineLvl w:val="2"/>
    </w:pPr>
    <w:rPr>
      <w:rFonts w:ascii="Times New Roman" w:eastAsia="Times New Roman" w:hAnsi="Times New Roman" w:cs="Times New Roman"/>
      <w:sz w:val="24"/>
      <w:szCs w:val="20"/>
      <w:u w:val="single"/>
    </w:rPr>
  </w:style>
  <w:style w:type="paragraph" w:customStyle="1" w:styleId="ManualSubsectionA">
    <w:name w:val="Manual Subsection A"/>
    <w:next w:val="ManualChapterText"/>
    <w:link w:val="ManualSubsectionAChar"/>
    <w:qFormat/>
    <w:rsid w:val="00F61C33"/>
    <w:pPr>
      <w:numPr>
        <w:ilvl w:val="1"/>
        <w:numId w:val="15"/>
      </w:numPr>
      <w:spacing w:after="0" w:line="240" w:lineRule="auto"/>
      <w:outlineLvl w:val="1"/>
    </w:pPr>
    <w:rPr>
      <w:rFonts w:ascii="Times New Roman" w:eastAsia="Times New Roman" w:hAnsi="Times New Roman" w:cs="Arial"/>
      <w:b/>
      <w:bCs/>
      <w:iCs/>
      <w:sz w:val="24"/>
      <w:szCs w:val="20"/>
    </w:rPr>
  </w:style>
  <w:style w:type="character" w:customStyle="1" w:styleId="ManualSubsectionAChar">
    <w:name w:val="Manual Subsection A Char"/>
    <w:link w:val="ManualSubsectionA"/>
    <w:rsid w:val="00677684"/>
    <w:rPr>
      <w:rFonts w:ascii="Times New Roman" w:eastAsia="Times New Roman" w:hAnsi="Times New Roman" w:cs="Arial"/>
      <w:b/>
      <w:bCs/>
      <w:iCs/>
      <w:sz w:val="24"/>
      <w:szCs w:val="20"/>
    </w:rPr>
  </w:style>
  <w:style w:type="paragraph" w:customStyle="1" w:styleId="ManualSubsectiona0">
    <w:name w:val="Manual Subsection a"/>
    <w:rsid w:val="00F61C33"/>
    <w:pPr>
      <w:numPr>
        <w:ilvl w:val="3"/>
        <w:numId w:val="15"/>
      </w:numPr>
      <w:spacing w:after="0" w:line="240" w:lineRule="auto"/>
      <w:outlineLvl w:val="3"/>
    </w:pPr>
    <w:rPr>
      <w:rFonts w:ascii="Times New Roman" w:eastAsia="Times New Roman" w:hAnsi="Times New Roman" w:cs="Times New Roman"/>
      <w:sz w:val="24"/>
      <w:szCs w:val="20"/>
    </w:rPr>
  </w:style>
  <w:style w:type="paragraph" w:customStyle="1" w:styleId="ManualSubsectionBodyText">
    <w:name w:val="Manual Subsection Body Text"/>
    <w:rsid w:val="00677684"/>
    <w:pPr>
      <w:spacing w:after="0" w:line="240" w:lineRule="auto"/>
      <w:ind w:left="576"/>
    </w:pPr>
    <w:rPr>
      <w:rFonts w:ascii="Times New Roman" w:eastAsia="Times New Roman" w:hAnsi="Times New Roman" w:cs="Times New Roman"/>
      <w:sz w:val="24"/>
      <w:szCs w:val="20"/>
    </w:rPr>
  </w:style>
  <w:style w:type="paragraph" w:customStyle="1" w:styleId="PermitCdn10">
    <w:name w:val="Permit Cdn (1)"/>
    <w:next w:val="Normal"/>
    <w:qFormat/>
    <w:rsid w:val="00196EC3"/>
    <w:pPr>
      <w:numPr>
        <w:ilvl w:val="3"/>
        <w:numId w:val="5"/>
      </w:numPr>
      <w:tabs>
        <w:tab w:val="left" w:pos="2070"/>
      </w:tabs>
      <w:spacing w:after="0" w:line="240" w:lineRule="auto"/>
      <w:outlineLvl w:val="5"/>
    </w:pPr>
    <w:rPr>
      <w:rFonts w:ascii="Times New Roman" w:eastAsia="Times New Roman" w:hAnsi="Times New Roman" w:cs="Times New Roman"/>
      <w:sz w:val="24"/>
      <w:szCs w:val="20"/>
    </w:rPr>
  </w:style>
  <w:style w:type="paragraph" w:customStyle="1" w:styleId="PermitCdn1Indent0">
    <w:name w:val="Permit Cdn (1) Indent"/>
    <w:qFormat/>
    <w:rsid w:val="00196EC3"/>
    <w:pPr>
      <w:spacing w:after="0" w:line="240" w:lineRule="auto"/>
      <w:ind w:left="1980"/>
    </w:pPr>
    <w:rPr>
      <w:rFonts w:ascii="Times New Roman" w:eastAsia="Times New Roman" w:hAnsi="Times New Roman" w:cs="Times New Roman"/>
      <w:sz w:val="24"/>
      <w:szCs w:val="24"/>
    </w:rPr>
  </w:style>
  <w:style w:type="paragraph" w:customStyle="1" w:styleId="SOBBodyText">
    <w:name w:val="SOB Body Text"/>
    <w:qFormat/>
    <w:rsid w:val="002E557D"/>
    <w:pPr>
      <w:spacing w:after="0" w:line="240" w:lineRule="auto"/>
    </w:pPr>
    <w:rPr>
      <w:rFonts w:ascii="Times New Roman" w:hAnsi="Times New Roman"/>
      <w:sz w:val="24"/>
    </w:rPr>
  </w:style>
  <w:style w:type="paragraph" w:customStyle="1" w:styleId="SOBHeading1">
    <w:name w:val="SOB Heading1"/>
    <w:next w:val="SOBBodyText"/>
    <w:qFormat/>
    <w:rsid w:val="002E557D"/>
    <w:pPr>
      <w:spacing w:after="0" w:line="240" w:lineRule="auto"/>
      <w:outlineLvl w:val="0"/>
    </w:pPr>
    <w:rPr>
      <w:rFonts w:ascii="Times New Roman" w:eastAsia="Times New Roman" w:hAnsi="Times New Roman" w:cs="Arial"/>
      <w:b/>
      <w:bCs/>
      <w:iCs/>
      <w:sz w:val="24"/>
      <w:szCs w:val="20"/>
    </w:rPr>
  </w:style>
  <w:style w:type="paragraph" w:customStyle="1" w:styleId="SOBHeading2">
    <w:name w:val="SOB Heading2"/>
    <w:basedOn w:val="MemoLevel2"/>
    <w:next w:val="SOBBodyText"/>
    <w:qFormat/>
    <w:rsid w:val="002E557D"/>
    <w:pPr>
      <w:numPr>
        <w:ilvl w:val="0"/>
        <w:numId w:val="0"/>
      </w:numPr>
    </w:pPr>
  </w:style>
  <w:style w:type="paragraph" w:customStyle="1" w:styleId="ManualChapterText">
    <w:name w:val="Manual Chapter Text"/>
    <w:qFormat/>
    <w:rsid w:val="00677684"/>
    <w:pPr>
      <w:spacing w:after="0" w:line="240" w:lineRule="auto"/>
    </w:pPr>
    <w:rPr>
      <w:rFonts w:ascii="Times New Roman" w:eastAsia="Times New Roman" w:hAnsi="Times New Roman" w:cs="Arial"/>
      <w:sz w:val="24"/>
      <w:szCs w:val="20"/>
    </w:rPr>
  </w:style>
  <w:style w:type="paragraph" w:customStyle="1" w:styleId="ManualSubsection1Text">
    <w:name w:val="Manual Subsection 1 Text"/>
    <w:rsid w:val="00677684"/>
    <w:pPr>
      <w:spacing w:after="0" w:line="240" w:lineRule="auto"/>
      <w:ind w:left="576"/>
    </w:pPr>
    <w:rPr>
      <w:rFonts w:ascii="Times New Roman" w:eastAsia="Times New Roman" w:hAnsi="Times New Roman" w:cs="Times New Roman"/>
      <w:sz w:val="24"/>
      <w:szCs w:val="20"/>
    </w:rPr>
  </w:style>
  <w:style w:type="paragraph" w:customStyle="1" w:styleId="ManualSubsectionAText">
    <w:name w:val="Manual Subsection A Text"/>
    <w:qFormat/>
    <w:rsid w:val="00677684"/>
    <w:pPr>
      <w:spacing w:after="0" w:line="240" w:lineRule="auto"/>
      <w:ind w:left="288"/>
    </w:pPr>
    <w:rPr>
      <w:rFonts w:ascii="Times New Roman" w:eastAsia="Times New Roman" w:hAnsi="Times New Roman" w:cs="Times New Roman"/>
      <w:sz w:val="24"/>
      <w:szCs w:val="24"/>
    </w:rPr>
  </w:style>
  <w:style w:type="paragraph" w:customStyle="1" w:styleId="ManualSubsectioni">
    <w:name w:val="Manual Subsection i"/>
    <w:qFormat/>
    <w:rsid w:val="00F61C33"/>
    <w:pPr>
      <w:numPr>
        <w:ilvl w:val="4"/>
        <w:numId w:val="15"/>
      </w:numPr>
      <w:spacing w:after="0" w:line="240" w:lineRule="auto"/>
      <w:outlineLvl w:val="4"/>
    </w:pPr>
    <w:rPr>
      <w:rFonts w:ascii="Times New Roman" w:eastAsia="Times New Roman" w:hAnsi="Times New Roman" w:cs="Times New Roman"/>
      <w:color w:val="000000" w:themeColor="text1"/>
      <w:sz w:val="24"/>
      <w:szCs w:val="20"/>
    </w:rPr>
  </w:style>
  <w:style w:type="paragraph" w:customStyle="1" w:styleId="ManualSubsectioniText">
    <w:name w:val="Manual Subsection i Text"/>
    <w:qFormat/>
    <w:rsid w:val="00935A6B"/>
    <w:pPr>
      <w:spacing w:after="0" w:line="240" w:lineRule="auto"/>
      <w:ind w:left="1584"/>
    </w:pPr>
    <w:rPr>
      <w:rFonts w:ascii="Times New Roman" w:eastAsia="Times New Roman" w:hAnsi="Times New Roman" w:cs="Times New Roman"/>
      <w:sz w:val="24"/>
      <w:szCs w:val="20"/>
    </w:rPr>
  </w:style>
  <w:style w:type="paragraph" w:customStyle="1" w:styleId="ManualSubsectionaText0">
    <w:name w:val="Manual Subsection a Text"/>
    <w:qFormat/>
    <w:rsid w:val="00935A6B"/>
    <w:pPr>
      <w:spacing w:after="0" w:line="240" w:lineRule="auto"/>
      <w:ind w:left="864"/>
    </w:pPr>
    <w:rPr>
      <w:rFonts w:ascii="Times New Roman" w:hAnsi="Times New Roman"/>
      <w:sz w:val="24"/>
    </w:rPr>
  </w:style>
  <w:style w:type="character" w:styleId="CommentReference">
    <w:name w:val="annotation reference"/>
    <w:basedOn w:val="DefaultParagraphFont"/>
    <w:uiPriority w:val="99"/>
    <w:semiHidden/>
    <w:unhideWhenUsed/>
    <w:rsid w:val="003518E9"/>
    <w:rPr>
      <w:sz w:val="16"/>
      <w:szCs w:val="16"/>
    </w:rPr>
  </w:style>
  <w:style w:type="paragraph" w:styleId="CommentText">
    <w:name w:val="annotation text"/>
    <w:basedOn w:val="Normal"/>
    <w:link w:val="CommentTextChar"/>
    <w:uiPriority w:val="99"/>
    <w:semiHidden/>
    <w:unhideWhenUsed/>
    <w:rsid w:val="003518E9"/>
    <w:rPr>
      <w:sz w:val="20"/>
      <w:szCs w:val="20"/>
    </w:rPr>
  </w:style>
  <w:style w:type="character" w:customStyle="1" w:styleId="CommentTextChar">
    <w:name w:val="Comment Text Char"/>
    <w:basedOn w:val="DefaultParagraphFont"/>
    <w:link w:val="CommentText"/>
    <w:uiPriority w:val="99"/>
    <w:semiHidden/>
    <w:rsid w:val="003518E9"/>
    <w:rPr>
      <w:rFonts w:ascii="Times New Roman" w:hAnsi="Times New Roman"/>
      <w:sz w:val="20"/>
      <w:szCs w:val="20"/>
    </w:rPr>
  </w:style>
  <w:style w:type="paragraph" w:styleId="BalloonText">
    <w:name w:val="Balloon Text"/>
    <w:basedOn w:val="Normal"/>
    <w:link w:val="BalloonTextChar"/>
    <w:uiPriority w:val="99"/>
    <w:semiHidden/>
    <w:unhideWhenUsed/>
    <w:rsid w:val="00351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E9"/>
    <w:rPr>
      <w:rFonts w:ascii="Segoe UI" w:hAnsi="Segoe UI" w:cs="Segoe UI"/>
      <w:sz w:val="18"/>
      <w:szCs w:val="18"/>
    </w:rPr>
  </w:style>
  <w:style w:type="paragraph" w:styleId="ListParagraph">
    <w:name w:val="List Paragraph"/>
    <w:basedOn w:val="Normal"/>
    <w:uiPriority w:val="34"/>
    <w:qFormat/>
    <w:rsid w:val="00060920"/>
    <w:pPr>
      <w:ind w:left="720"/>
      <w:contextualSpacing/>
    </w:pPr>
  </w:style>
  <w:style w:type="paragraph" w:styleId="Footer">
    <w:name w:val="footer"/>
    <w:basedOn w:val="Normal"/>
    <w:link w:val="FooterChar"/>
    <w:uiPriority w:val="99"/>
    <w:unhideWhenUsed/>
    <w:rsid w:val="003F5F19"/>
    <w:pPr>
      <w:tabs>
        <w:tab w:val="center" w:pos="4680"/>
        <w:tab w:val="right" w:pos="9360"/>
      </w:tabs>
    </w:pPr>
  </w:style>
  <w:style w:type="character" w:customStyle="1" w:styleId="FooterChar">
    <w:name w:val="Footer Char"/>
    <w:basedOn w:val="DefaultParagraphFont"/>
    <w:link w:val="Footer"/>
    <w:uiPriority w:val="99"/>
    <w:rsid w:val="003F5F19"/>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DA7B44"/>
    <w:rPr>
      <w:b/>
      <w:bCs/>
    </w:rPr>
  </w:style>
  <w:style w:type="character" w:customStyle="1" w:styleId="CommentSubjectChar">
    <w:name w:val="Comment Subject Char"/>
    <w:basedOn w:val="CommentTextChar"/>
    <w:link w:val="CommentSubject"/>
    <w:uiPriority w:val="99"/>
    <w:semiHidden/>
    <w:rsid w:val="00DA7B4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CO2 Budget Operating Permit</dc:title>
  <dc:subject>Virginia Application for CO2 Budget Operating Permit</dc:subject>
  <dc:creator>Virginia Dept. of Environmental Quality</dc:creator>
  <cp:keywords/>
  <dc:description/>
  <cp:lastModifiedBy>Tripp, Susan (DEQ)</cp:lastModifiedBy>
  <cp:revision>2</cp:revision>
  <cp:lastPrinted>2020-10-01T15:06:00Z</cp:lastPrinted>
  <dcterms:created xsi:type="dcterms:W3CDTF">2020-10-01T15:30:00Z</dcterms:created>
  <dcterms:modified xsi:type="dcterms:W3CDTF">2020-10-01T15:30:00Z</dcterms:modified>
</cp:coreProperties>
</file>