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7A1" w:rsidRPr="004777A1" w:rsidRDefault="004777A1" w:rsidP="004777A1">
      <w:pPr>
        <w:pStyle w:val="Heading2"/>
        <w:spacing w:before="0"/>
        <w:ind w:left="-540"/>
        <w:rPr>
          <w:rFonts w:ascii="Times New Roman" w:hAnsi="Times New Roman" w:cs="Times New Roman"/>
          <w:b/>
          <w:color w:val="000000" w:themeColor="text1"/>
          <w:sz w:val="24"/>
          <w:szCs w:val="24"/>
        </w:rPr>
      </w:pPr>
      <w:bookmarkStart w:id="0" w:name="_Toc74050010"/>
      <w:r>
        <w:rPr>
          <w:rFonts w:ascii="Times New Roman" w:hAnsi="Times New Roman" w:cs="Times New Roman"/>
          <w:b/>
          <w:color w:val="000000" w:themeColor="text1"/>
          <w:sz w:val="24"/>
          <w:szCs w:val="24"/>
        </w:rPr>
        <w:t xml:space="preserve">I. </w:t>
      </w:r>
      <w:r w:rsidRPr="004777A1">
        <w:rPr>
          <w:rFonts w:ascii="Times New Roman" w:hAnsi="Times New Roman" w:cs="Times New Roman"/>
          <w:b/>
          <w:color w:val="000000" w:themeColor="text1"/>
          <w:sz w:val="24"/>
          <w:szCs w:val="24"/>
        </w:rPr>
        <w:t>Create a Green Team</w:t>
      </w:r>
      <w:bookmarkEnd w:id="0"/>
    </w:p>
    <w:p w:rsidR="004777A1" w:rsidRDefault="004777A1" w:rsidP="004777A1">
      <w:pPr>
        <w:shd w:val="clear" w:color="auto" w:fill="FFFFFF"/>
        <w:ind w:left="-540"/>
        <w:rPr>
          <w:rFonts w:eastAsia="Times New Roman"/>
          <w:color w:val="000000" w:themeColor="text1"/>
        </w:rPr>
      </w:pPr>
    </w:p>
    <w:p w:rsidR="000318B2" w:rsidRDefault="000318B2" w:rsidP="000318B2">
      <w:pPr>
        <w:shd w:val="clear" w:color="auto" w:fill="FFFFFF"/>
        <w:ind w:left="-540"/>
        <w:rPr>
          <w:rFonts w:eastAsia="Times New Roman"/>
          <w:color w:val="000000" w:themeColor="text1"/>
        </w:rPr>
      </w:pPr>
      <w:r w:rsidRPr="000318B2">
        <w:rPr>
          <w:rFonts w:eastAsia="Times New Roman"/>
          <w:color w:val="000000" w:themeColor="text1"/>
        </w:rPr>
        <w:t>One way to improve environmental performance and meet goals is to establish a Green Team, which is a cross-functional group of staff focused on the environmental goals of the larger entity, whether it be a business, college, university or other. Ideally, a Green Team starts as a small group that sets achievable goals.  Accomplishing these goals helps to build momentum. As with all long-term or ongoing projects, the team should meet regularly (quarterly meetings are recommended).  As mentioned previously, a cross-functional team helps to bring together a diverse knowledge base, encourages collaboration and helps to distribute the workload. If possible, include staff from building services as they can be instrumental in project approval/support, data collection and monitoring.</w:t>
      </w:r>
    </w:p>
    <w:p w:rsidR="000318B2" w:rsidRPr="000318B2" w:rsidRDefault="000318B2" w:rsidP="000318B2">
      <w:pPr>
        <w:shd w:val="clear" w:color="auto" w:fill="FFFFFF"/>
        <w:ind w:left="-540"/>
        <w:rPr>
          <w:rFonts w:eastAsia="Times New Roman"/>
          <w:color w:val="000000" w:themeColor="text1"/>
        </w:rPr>
      </w:pPr>
    </w:p>
    <w:p w:rsidR="000318B2" w:rsidRDefault="000318B2" w:rsidP="000318B2">
      <w:pPr>
        <w:shd w:val="clear" w:color="auto" w:fill="FFFFFF"/>
        <w:ind w:left="-540"/>
        <w:rPr>
          <w:rFonts w:eastAsia="Times New Roman"/>
          <w:color w:val="000000" w:themeColor="text1"/>
        </w:rPr>
      </w:pPr>
      <w:r w:rsidRPr="000318B2">
        <w:rPr>
          <w:rFonts w:eastAsia="Times New Roman"/>
          <w:color w:val="000000" w:themeColor="text1"/>
        </w:rPr>
        <w:t>Environmental improvement often hinges on cultural and behavioral change, so communication is imperative. Create a newsletter, blog, Facebook page, etc., to get the word out about events, resources and how people can get involved. This can be coupled with a 12-month campaign schedule to focus on different environmental topics each month. Use your communication infrastructure to recognize internal environmental leaders. Engage staff through competition. The competition could be about conserving resources on-site like energy and water or competition can also come in the form of soliciting feedback from staff and rewarding innovative ideas.</w:t>
      </w:r>
    </w:p>
    <w:p w:rsidR="000318B2" w:rsidRPr="000318B2" w:rsidRDefault="000318B2" w:rsidP="000318B2">
      <w:pPr>
        <w:shd w:val="clear" w:color="auto" w:fill="FFFFFF"/>
        <w:ind w:left="-540"/>
        <w:rPr>
          <w:rFonts w:eastAsia="Times New Roman"/>
          <w:color w:val="000000" w:themeColor="text1"/>
        </w:rPr>
      </w:pPr>
    </w:p>
    <w:p w:rsidR="004777A1" w:rsidRDefault="000318B2" w:rsidP="000318B2">
      <w:pPr>
        <w:shd w:val="clear" w:color="auto" w:fill="FFFFFF"/>
        <w:ind w:left="-540"/>
        <w:rPr>
          <w:rFonts w:eastAsia="Times New Roman"/>
          <w:color w:val="000000" w:themeColor="text1"/>
        </w:rPr>
      </w:pPr>
      <w:r w:rsidRPr="000318B2">
        <w:rPr>
          <w:rFonts w:eastAsia="Times New Roman"/>
          <w:color w:val="000000" w:themeColor="text1"/>
        </w:rPr>
        <w:t>The Green Team should encourage universal staff buy-in and promote project ownership. The handful of staff on the Green Team can be a catalyst for change, but all staff will need to be engaged and committed to environmental change.</w:t>
      </w:r>
    </w:p>
    <w:p w:rsidR="000318B2" w:rsidRPr="004777A1" w:rsidRDefault="000318B2" w:rsidP="000318B2">
      <w:pPr>
        <w:shd w:val="clear" w:color="auto" w:fill="FFFFFF"/>
        <w:ind w:left="-540"/>
        <w:rPr>
          <w:rFonts w:eastAsia="Times New Roman"/>
          <w:color w:val="000000" w:themeColor="text1"/>
        </w:rPr>
      </w:pPr>
    </w:p>
    <w:p w:rsidR="004777A1" w:rsidRPr="004777A1" w:rsidRDefault="004777A1" w:rsidP="004777A1">
      <w:pPr>
        <w:shd w:val="clear" w:color="auto" w:fill="FFFFFF"/>
        <w:ind w:left="-540"/>
        <w:rPr>
          <w:rFonts w:eastAsia="Times New Roman"/>
          <w:color w:val="000000" w:themeColor="text1"/>
        </w:rPr>
      </w:pPr>
      <w:r w:rsidRPr="004777A1">
        <w:rPr>
          <w:rFonts w:eastAsia="Times New Roman"/>
          <w:color w:val="000000" w:themeColor="text1"/>
        </w:rPr>
        <w:t xml:space="preserve">If you have questions about establishing a Green Team or similar entity, please contact </w:t>
      </w:r>
      <w:hyperlink r:id="rId7" w:history="1">
        <w:r w:rsidRPr="004777A1">
          <w:rPr>
            <w:rStyle w:val="Hyperlink"/>
            <w:rFonts w:eastAsia="Times New Roman"/>
            <w:color w:val="0070C0"/>
          </w:rPr>
          <w:t>DEQ’s Office of Pollution Prevention</w:t>
        </w:r>
      </w:hyperlink>
      <w:r w:rsidRPr="004777A1">
        <w:rPr>
          <w:rFonts w:eastAsia="Times New Roman"/>
          <w:color w:val="000000" w:themeColor="text1"/>
        </w:rPr>
        <w:t>.</w:t>
      </w:r>
    </w:p>
    <w:p w:rsidR="004777A1" w:rsidRDefault="004777A1" w:rsidP="004777A1">
      <w:pPr>
        <w:ind w:left="-540"/>
        <w:rPr>
          <w:color w:val="000000" w:themeColor="text1"/>
        </w:rPr>
      </w:pPr>
    </w:p>
    <w:p w:rsidR="004777A1" w:rsidRPr="004777A1" w:rsidRDefault="004777A1" w:rsidP="004777A1">
      <w:pPr>
        <w:ind w:left="-540"/>
        <w:rPr>
          <w:color w:val="000000" w:themeColor="text1"/>
        </w:rPr>
      </w:pPr>
    </w:p>
    <w:p w:rsidR="000318B2" w:rsidRPr="000318B2" w:rsidRDefault="000318B2" w:rsidP="000318B2">
      <w:pPr>
        <w:pStyle w:val="Heading2"/>
        <w:spacing w:before="0" w:line="240" w:lineRule="auto"/>
        <w:ind w:left="-540"/>
        <w:rPr>
          <w:rFonts w:ascii="Times New Roman" w:hAnsi="Times New Roman" w:cs="Times New Roman"/>
          <w:b/>
          <w:color w:val="000000" w:themeColor="text1"/>
          <w:sz w:val="24"/>
          <w:szCs w:val="24"/>
        </w:rPr>
      </w:pPr>
      <w:bookmarkStart w:id="1" w:name="_Toc74050012"/>
      <w:r>
        <w:rPr>
          <w:rFonts w:ascii="Times New Roman" w:hAnsi="Times New Roman" w:cs="Times New Roman"/>
          <w:b/>
          <w:color w:val="000000" w:themeColor="text1"/>
          <w:sz w:val="24"/>
          <w:szCs w:val="24"/>
        </w:rPr>
        <w:t>II. Signage and Collection Best Practices</w:t>
      </w:r>
    </w:p>
    <w:p w:rsidR="000318B2" w:rsidRDefault="000318B2" w:rsidP="000318B2">
      <w:pPr>
        <w:ind w:left="-540"/>
        <w:rPr>
          <w:color w:val="000000" w:themeColor="text1"/>
        </w:rPr>
      </w:pPr>
    </w:p>
    <w:p w:rsidR="000318B2" w:rsidRDefault="000318B2" w:rsidP="000318B2">
      <w:pPr>
        <w:pStyle w:val="Heading2"/>
        <w:ind w:left="-540"/>
        <w:rPr>
          <w:rFonts w:ascii="Times New Roman" w:eastAsia="Calibri" w:hAnsi="Times New Roman" w:cs="Times New Roman"/>
          <w:color w:val="000000" w:themeColor="text1"/>
          <w:sz w:val="24"/>
          <w:szCs w:val="24"/>
        </w:rPr>
      </w:pPr>
      <w:r w:rsidRPr="000318B2">
        <w:rPr>
          <w:rFonts w:ascii="Times New Roman" w:eastAsia="Calibri" w:hAnsi="Times New Roman" w:cs="Times New Roman"/>
          <w:color w:val="000000" w:themeColor="text1"/>
          <w:sz w:val="24"/>
          <w:szCs w:val="24"/>
        </w:rPr>
        <w:t>Good signage on collection bins for waste, recycling, and compost is an important tool in reducing contamination in the collection process. Here are some tips:</w:t>
      </w:r>
    </w:p>
    <w:p w:rsidR="000318B2" w:rsidRPr="000318B2" w:rsidRDefault="000318B2" w:rsidP="000318B2"/>
    <w:p w:rsidR="000318B2" w:rsidRDefault="000318B2" w:rsidP="000318B2">
      <w:pPr>
        <w:pStyle w:val="Heading2"/>
        <w:ind w:left="-540"/>
        <w:rPr>
          <w:rFonts w:ascii="Times New Roman" w:eastAsia="Calibri" w:hAnsi="Times New Roman" w:cs="Times New Roman"/>
          <w:color w:val="000000" w:themeColor="text1"/>
          <w:sz w:val="24"/>
          <w:szCs w:val="24"/>
        </w:rPr>
      </w:pPr>
      <w:r w:rsidRPr="000318B2">
        <w:rPr>
          <w:rFonts w:ascii="Times New Roman" w:eastAsia="Calibri" w:hAnsi="Times New Roman" w:cs="Times New Roman"/>
          <w:b/>
          <w:color w:val="000000" w:themeColor="text1"/>
          <w:sz w:val="24"/>
          <w:szCs w:val="24"/>
        </w:rPr>
        <w:t>Uniform Signage:</w:t>
      </w:r>
      <w:r w:rsidRPr="000318B2">
        <w:rPr>
          <w:rFonts w:ascii="Times New Roman" w:eastAsia="Calibri" w:hAnsi="Times New Roman" w:cs="Times New Roman"/>
          <w:color w:val="000000" w:themeColor="text1"/>
          <w:sz w:val="24"/>
          <w:szCs w:val="24"/>
        </w:rPr>
        <w:t xml:space="preserve"> Signage should be consistent across your facility. It can be helpful when the receptacle color remains consistent as well. Receptacles should have labels identifying the materials what is and is not collected. If possible, include pictures of items.</w:t>
      </w:r>
    </w:p>
    <w:p w:rsidR="000318B2" w:rsidRPr="000318B2" w:rsidRDefault="000318B2" w:rsidP="000318B2"/>
    <w:p w:rsidR="000318B2" w:rsidRDefault="000318B2" w:rsidP="000318B2">
      <w:pPr>
        <w:pStyle w:val="Heading2"/>
        <w:ind w:left="-540"/>
        <w:rPr>
          <w:rFonts w:ascii="Times New Roman" w:eastAsia="Calibri" w:hAnsi="Times New Roman" w:cs="Times New Roman"/>
          <w:color w:val="000000" w:themeColor="text1"/>
          <w:sz w:val="24"/>
          <w:szCs w:val="24"/>
        </w:rPr>
      </w:pPr>
      <w:r w:rsidRPr="000318B2">
        <w:rPr>
          <w:rFonts w:ascii="Times New Roman" w:eastAsia="Calibri" w:hAnsi="Times New Roman" w:cs="Times New Roman"/>
          <w:b/>
          <w:color w:val="000000" w:themeColor="text1"/>
          <w:sz w:val="24"/>
          <w:szCs w:val="24"/>
        </w:rPr>
        <w:t>Close the Lid:</w:t>
      </w:r>
      <w:r w:rsidRPr="000318B2">
        <w:rPr>
          <w:rFonts w:ascii="Times New Roman" w:eastAsia="Calibri" w:hAnsi="Times New Roman" w:cs="Times New Roman"/>
          <w:color w:val="000000" w:themeColor="text1"/>
          <w:sz w:val="24"/>
          <w:szCs w:val="24"/>
        </w:rPr>
        <w:t xml:space="preserve"> Containers ideally have lids that close with information on the material collected on the lid.</w:t>
      </w:r>
    </w:p>
    <w:p w:rsidR="000318B2" w:rsidRPr="000318B2" w:rsidRDefault="000318B2" w:rsidP="000318B2">
      <w:bookmarkStart w:id="2" w:name="_GoBack"/>
      <w:bookmarkEnd w:id="2"/>
    </w:p>
    <w:p w:rsidR="000318B2" w:rsidRDefault="000318B2" w:rsidP="000318B2">
      <w:pPr>
        <w:pStyle w:val="Heading2"/>
        <w:spacing w:before="0" w:line="240" w:lineRule="auto"/>
        <w:ind w:left="-540"/>
        <w:rPr>
          <w:rFonts w:ascii="Times New Roman" w:hAnsi="Times New Roman" w:cs="Times New Roman"/>
          <w:b/>
          <w:color w:val="000000" w:themeColor="text1"/>
          <w:sz w:val="24"/>
          <w:szCs w:val="24"/>
        </w:rPr>
      </w:pPr>
      <w:r w:rsidRPr="000318B2">
        <w:rPr>
          <w:rFonts w:ascii="Times New Roman" w:eastAsia="Calibri" w:hAnsi="Times New Roman" w:cs="Times New Roman"/>
          <w:b/>
          <w:color w:val="000000" w:themeColor="text1"/>
          <w:sz w:val="24"/>
          <w:szCs w:val="24"/>
        </w:rPr>
        <w:lastRenderedPageBreak/>
        <w:t>Co-locate:</w:t>
      </w:r>
      <w:r w:rsidRPr="000318B2">
        <w:rPr>
          <w:rFonts w:ascii="Times New Roman" w:eastAsia="Calibri" w:hAnsi="Times New Roman" w:cs="Times New Roman"/>
          <w:color w:val="000000" w:themeColor="text1"/>
          <w:sz w:val="24"/>
          <w:szCs w:val="24"/>
        </w:rPr>
        <w:t xml:space="preserve"> Containers should be co-located. Always place recycling and composting receptacles next to trash cans. This will help reduce contamination. A recycling or composting container alone can end up being used as a trash can.</w:t>
      </w:r>
    </w:p>
    <w:p w:rsidR="000318B2" w:rsidRDefault="000318B2" w:rsidP="000318B2"/>
    <w:p w:rsidR="000318B2" w:rsidRPr="000318B2" w:rsidRDefault="000318B2" w:rsidP="000318B2"/>
    <w:p w:rsidR="000318B2" w:rsidRPr="000318B2" w:rsidRDefault="004777A1" w:rsidP="000318B2">
      <w:pPr>
        <w:pStyle w:val="Heading2"/>
        <w:spacing w:before="0" w:line="240" w:lineRule="auto"/>
        <w:ind w:left="-54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w:t>
      </w:r>
      <w:r w:rsidR="000318B2">
        <w:rPr>
          <w:rFonts w:ascii="Times New Roman" w:hAnsi="Times New Roman" w:cs="Times New Roman"/>
          <w:b/>
          <w:color w:val="000000" w:themeColor="text1"/>
          <w:sz w:val="24"/>
          <w:szCs w:val="24"/>
        </w:rPr>
        <w:t>I</w:t>
      </w:r>
      <w:r>
        <w:rPr>
          <w:rFonts w:ascii="Times New Roman" w:hAnsi="Times New Roman" w:cs="Times New Roman"/>
          <w:b/>
          <w:color w:val="000000" w:themeColor="text1"/>
          <w:sz w:val="24"/>
          <w:szCs w:val="24"/>
        </w:rPr>
        <w:t xml:space="preserve">I. </w:t>
      </w:r>
      <w:r w:rsidRPr="004777A1">
        <w:rPr>
          <w:rFonts w:ascii="Times New Roman" w:hAnsi="Times New Roman" w:cs="Times New Roman"/>
          <w:b/>
          <w:color w:val="000000" w:themeColor="text1"/>
          <w:sz w:val="24"/>
          <w:szCs w:val="24"/>
        </w:rPr>
        <w:t>Waste Audit</w:t>
      </w:r>
      <w:bookmarkEnd w:id="1"/>
    </w:p>
    <w:p w:rsidR="004777A1" w:rsidRDefault="004777A1" w:rsidP="004777A1">
      <w:pPr>
        <w:ind w:left="-540"/>
        <w:rPr>
          <w:color w:val="000000" w:themeColor="text1"/>
        </w:rPr>
      </w:pPr>
    </w:p>
    <w:p w:rsidR="004777A1" w:rsidRPr="004777A1" w:rsidRDefault="004777A1" w:rsidP="004777A1">
      <w:pPr>
        <w:ind w:left="-540"/>
        <w:rPr>
          <w:color w:val="000000" w:themeColor="text1"/>
        </w:rPr>
      </w:pPr>
      <w:r w:rsidRPr="004777A1">
        <w:rPr>
          <w:color w:val="000000" w:themeColor="text1"/>
        </w:rPr>
        <w:t>Five Steps to a Waste Audit:</w:t>
      </w:r>
    </w:p>
    <w:p w:rsidR="004777A1" w:rsidRPr="004777A1" w:rsidRDefault="004777A1" w:rsidP="004777A1">
      <w:pPr>
        <w:pStyle w:val="ListParagraph"/>
        <w:numPr>
          <w:ilvl w:val="0"/>
          <w:numId w:val="10"/>
        </w:numPr>
        <w:rPr>
          <w:rFonts w:ascii="Times New Roman" w:hAnsi="Times New Roman" w:cs="Times New Roman"/>
          <w:color w:val="000000" w:themeColor="text1"/>
          <w:sz w:val="24"/>
          <w:szCs w:val="24"/>
        </w:rPr>
      </w:pPr>
      <w:r w:rsidRPr="004777A1">
        <w:rPr>
          <w:rFonts w:ascii="Times New Roman" w:hAnsi="Times New Roman" w:cs="Times New Roman"/>
          <w:color w:val="000000" w:themeColor="text1"/>
          <w:sz w:val="24"/>
          <w:szCs w:val="24"/>
        </w:rPr>
        <w:t>Select your team and plan a date for the waste audit.</w:t>
      </w:r>
    </w:p>
    <w:p w:rsidR="004777A1" w:rsidRPr="004777A1" w:rsidRDefault="004777A1" w:rsidP="004777A1">
      <w:pPr>
        <w:pStyle w:val="ListParagraph"/>
        <w:numPr>
          <w:ilvl w:val="1"/>
          <w:numId w:val="10"/>
        </w:numPr>
        <w:shd w:val="clear" w:color="auto" w:fill="FFFFFF"/>
        <w:rPr>
          <w:rFonts w:ascii="Times New Roman" w:eastAsia="Times New Roman" w:hAnsi="Times New Roman" w:cs="Times New Roman"/>
          <w:color w:val="000000" w:themeColor="text1"/>
          <w:sz w:val="24"/>
          <w:szCs w:val="24"/>
        </w:rPr>
      </w:pPr>
      <w:r w:rsidRPr="004777A1">
        <w:rPr>
          <w:rFonts w:ascii="Times New Roman" w:eastAsia="Times New Roman" w:hAnsi="Times New Roman" w:cs="Times New Roman"/>
          <w:color w:val="000000" w:themeColor="text1"/>
          <w:sz w:val="24"/>
          <w:szCs w:val="24"/>
        </w:rPr>
        <w:t>Include staff from across the organization (a Green Team is an excellent resource for auditors).</w:t>
      </w:r>
    </w:p>
    <w:p w:rsidR="004777A1" w:rsidRPr="004777A1" w:rsidRDefault="004777A1" w:rsidP="004777A1">
      <w:pPr>
        <w:pStyle w:val="ListParagraph"/>
        <w:numPr>
          <w:ilvl w:val="1"/>
          <w:numId w:val="10"/>
        </w:numPr>
        <w:shd w:val="clear" w:color="auto" w:fill="FFFFFF"/>
        <w:rPr>
          <w:rFonts w:ascii="Times New Roman" w:eastAsia="Times New Roman" w:hAnsi="Times New Roman" w:cs="Times New Roman"/>
          <w:color w:val="000000" w:themeColor="text1"/>
          <w:sz w:val="24"/>
          <w:szCs w:val="24"/>
        </w:rPr>
      </w:pPr>
      <w:r w:rsidRPr="004777A1">
        <w:rPr>
          <w:rFonts w:ascii="Times New Roman" w:eastAsia="Times New Roman" w:hAnsi="Times New Roman" w:cs="Times New Roman"/>
          <w:color w:val="000000" w:themeColor="text1"/>
          <w:sz w:val="24"/>
          <w:szCs w:val="24"/>
        </w:rPr>
        <w:t>Waste audits often identify wasteful practices that translate into soft dollar losses, so make sure to include the custodial team in the planning process as they can advise on your waste collection program and identify areas for improvement.</w:t>
      </w:r>
    </w:p>
    <w:p w:rsidR="004777A1" w:rsidRPr="004777A1" w:rsidRDefault="004777A1" w:rsidP="004777A1">
      <w:pPr>
        <w:pStyle w:val="ListParagraph"/>
        <w:numPr>
          <w:ilvl w:val="1"/>
          <w:numId w:val="10"/>
        </w:numPr>
        <w:shd w:val="clear" w:color="auto" w:fill="FFFFFF"/>
        <w:rPr>
          <w:rFonts w:ascii="Times New Roman" w:eastAsia="Times New Roman" w:hAnsi="Times New Roman" w:cs="Times New Roman"/>
          <w:color w:val="000000" w:themeColor="text1"/>
          <w:sz w:val="24"/>
          <w:szCs w:val="24"/>
        </w:rPr>
      </w:pPr>
      <w:r w:rsidRPr="004777A1">
        <w:rPr>
          <w:rFonts w:ascii="Times New Roman" w:eastAsia="Times New Roman" w:hAnsi="Times New Roman" w:cs="Times New Roman"/>
          <w:color w:val="000000" w:themeColor="text1"/>
          <w:sz w:val="24"/>
          <w:szCs w:val="24"/>
        </w:rPr>
        <w:t>Select an uneventful week at your facility, and collect all waste over a 3-day period and place the waste in a secure container.</w:t>
      </w:r>
    </w:p>
    <w:p w:rsidR="004777A1" w:rsidRPr="004777A1" w:rsidRDefault="004777A1" w:rsidP="004777A1">
      <w:pPr>
        <w:pStyle w:val="ListParagraph"/>
        <w:numPr>
          <w:ilvl w:val="1"/>
          <w:numId w:val="10"/>
        </w:numPr>
        <w:shd w:val="clear" w:color="auto" w:fill="FFFFFF"/>
        <w:rPr>
          <w:rFonts w:ascii="Times New Roman" w:eastAsia="Times New Roman" w:hAnsi="Times New Roman" w:cs="Times New Roman"/>
          <w:color w:val="000000" w:themeColor="text1"/>
          <w:sz w:val="24"/>
          <w:szCs w:val="24"/>
        </w:rPr>
      </w:pPr>
      <w:r w:rsidRPr="004777A1">
        <w:rPr>
          <w:rFonts w:ascii="Times New Roman" w:eastAsia="Times New Roman" w:hAnsi="Times New Roman" w:cs="Times New Roman"/>
          <w:color w:val="000000" w:themeColor="text1"/>
          <w:sz w:val="24"/>
          <w:szCs w:val="24"/>
        </w:rPr>
        <w:t>Collect waste and recycling on Tuesdays, Wednesdays and Thursdays (do not include Mondays and Fridays as there is typically a higher incidence of absences on those days).</w:t>
      </w:r>
    </w:p>
    <w:p w:rsidR="004777A1" w:rsidRPr="004777A1" w:rsidRDefault="004777A1" w:rsidP="004777A1">
      <w:pPr>
        <w:pStyle w:val="ListParagraph"/>
        <w:numPr>
          <w:ilvl w:val="1"/>
          <w:numId w:val="10"/>
        </w:numPr>
        <w:shd w:val="clear" w:color="auto" w:fill="FFFFFF"/>
        <w:rPr>
          <w:rFonts w:ascii="Times New Roman" w:eastAsia="Times New Roman" w:hAnsi="Times New Roman" w:cs="Times New Roman"/>
          <w:color w:val="000000" w:themeColor="text1"/>
          <w:sz w:val="24"/>
          <w:szCs w:val="24"/>
        </w:rPr>
      </w:pPr>
      <w:r w:rsidRPr="004777A1">
        <w:rPr>
          <w:rFonts w:ascii="Times New Roman" w:eastAsia="Times New Roman" w:hAnsi="Times New Roman" w:cs="Times New Roman"/>
          <w:color w:val="000000" w:themeColor="text1"/>
          <w:sz w:val="24"/>
          <w:szCs w:val="24"/>
        </w:rPr>
        <w:t>Provide labels for the audit team so they can label each bag with the date, location and stream.</w:t>
      </w:r>
    </w:p>
    <w:p w:rsidR="004777A1" w:rsidRPr="004777A1" w:rsidRDefault="004777A1" w:rsidP="004777A1">
      <w:pPr>
        <w:pStyle w:val="ListParagraph"/>
        <w:numPr>
          <w:ilvl w:val="0"/>
          <w:numId w:val="10"/>
        </w:numPr>
        <w:rPr>
          <w:rFonts w:ascii="Times New Roman" w:hAnsi="Times New Roman" w:cs="Times New Roman"/>
          <w:color w:val="000000" w:themeColor="text1"/>
          <w:sz w:val="24"/>
          <w:szCs w:val="24"/>
        </w:rPr>
      </w:pPr>
      <w:r w:rsidRPr="004777A1">
        <w:rPr>
          <w:rFonts w:ascii="Times New Roman" w:hAnsi="Times New Roman" w:cs="Times New Roman"/>
          <w:color w:val="000000" w:themeColor="text1"/>
          <w:sz w:val="24"/>
          <w:szCs w:val="24"/>
        </w:rPr>
        <w:t>Gather your equipment.</w:t>
      </w:r>
    </w:p>
    <w:p w:rsidR="004777A1" w:rsidRPr="004777A1" w:rsidRDefault="004777A1" w:rsidP="004777A1">
      <w:pPr>
        <w:pStyle w:val="ListParagraph"/>
        <w:numPr>
          <w:ilvl w:val="1"/>
          <w:numId w:val="10"/>
        </w:numPr>
        <w:shd w:val="clear" w:color="auto" w:fill="FFFFFF"/>
        <w:rPr>
          <w:rFonts w:ascii="Times New Roman" w:eastAsia="Times New Roman" w:hAnsi="Times New Roman" w:cs="Times New Roman"/>
          <w:color w:val="000000" w:themeColor="text1"/>
          <w:sz w:val="24"/>
          <w:szCs w:val="24"/>
        </w:rPr>
      </w:pPr>
      <w:r w:rsidRPr="004777A1">
        <w:rPr>
          <w:rFonts w:ascii="Times New Roman" w:eastAsia="Times New Roman" w:hAnsi="Times New Roman" w:cs="Times New Roman"/>
          <w:color w:val="000000" w:themeColor="text1"/>
          <w:sz w:val="24"/>
          <w:szCs w:val="24"/>
        </w:rPr>
        <w:t>Clear garbage bags for use in all waste and recycling bins during the 3-day period</w:t>
      </w:r>
    </w:p>
    <w:p w:rsidR="004777A1" w:rsidRPr="004777A1" w:rsidRDefault="004777A1" w:rsidP="004777A1">
      <w:pPr>
        <w:pStyle w:val="ListParagraph"/>
        <w:numPr>
          <w:ilvl w:val="1"/>
          <w:numId w:val="10"/>
        </w:numPr>
        <w:shd w:val="clear" w:color="auto" w:fill="FFFFFF"/>
        <w:rPr>
          <w:rFonts w:ascii="Times New Roman" w:eastAsia="Times New Roman" w:hAnsi="Times New Roman" w:cs="Times New Roman"/>
          <w:color w:val="000000" w:themeColor="text1"/>
          <w:sz w:val="24"/>
          <w:szCs w:val="24"/>
        </w:rPr>
      </w:pPr>
      <w:r w:rsidRPr="004777A1">
        <w:rPr>
          <w:rFonts w:ascii="Times New Roman" w:eastAsia="Times New Roman" w:hAnsi="Times New Roman" w:cs="Times New Roman"/>
          <w:color w:val="000000" w:themeColor="text1"/>
          <w:sz w:val="24"/>
          <w:szCs w:val="24"/>
        </w:rPr>
        <w:t>Large secure container to store the collected bags</w:t>
      </w:r>
    </w:p>
    <w:p w:rsidR="00965E51" w:rsidRDefault="004777A1" w:rsidP="004777A1">
      <w:pPr>
        <w:pStyle w:val="ListParagraph"/>
        <w:numPr>
          <w:ilvl w:val="1"/>
          <w:numId w:val="10"/>
        </w:numPr>
        <w:shd w:val="clear" w:color="auto" w:fill="FFFFFF"/>
        <w:rPr>
          <w:rFonts w:ascii="Times New Roman" w:eastAsia="Times New Roman" w:hAnsi="Times New Roman" w:cs="Times New Roman"/>
          <w:color w:val="000000" w:themeColor="text1"/>
          <w:sz w:val="24"/>
          <w:szCs w:val="24"/>
        </w:rPr>
      </w:pPr>
      <w:r w:rsidRPr="004777A1">
        <w:rPr>
          <w:rFonts w:ascii="Times New Roman" w:eastAsia="Times New Roman" w:hAnsi="Times New Roman" w:cs="Times New Roman"/>
          <w:color w:val="000000" w:themeColor="text1"/>
          <w:sz w:val="24"/>
          <w:szCs w:val="24"/>
        </w:rPr>
        <w:t>Labels to identify date, location and stream for each bag</w:t>
      </w:r>
      <w:r w:rsidR="00965E51">
        <w:rPr>
          <w:rFonts w:ascii="Times New Roman" w:eastAsia="Times New Roman" w:hAnsi="Times New Roman" w:cs="Times New Roman"/>
          <w:color w:val="000000" w:themeColor="text1"/>
          <w:sz w:val="24"/>
          <w:szCs w:val="24"/>
        </w:rPr>
        <w:t xml:space="preserve"> </w:t>
      </w:r>
    </w:p>
    <w:p w:rsidR="004777A1" w:rsidRPr="004777A1" w:rsidRDefault="004777A1" w:rsidP="004777A1">
      <w:pPr>
        <w:pStyle w:val="ListParagraph"/>
        <w:numPr>
          <w:ilvl w:val="1"/>
          <w:numId w:val="10"/>
        </w:numPr>
        <w:shd w:val="clear" w:color="auto" w:fill="FFFFFF"/>
        <w:rPr>
          <w:rFonts w:ascii="Times New Roman" w:eastAsia="Times New Roman" w:hAnsi="Times New Roman" w:cs="Times New Roman"/>
          <w:color w:val="000000" w:themeColor="text1"/>
          <w:sz w:val="24"/>
          <w:szCs w:val="24"/>
        </w:rPr>
      </w:pPr>
      <w:r w:rsidRPr="004777A1">
        <w:rPr>
          <w:rFonts w:ascii="Times New Roman" w:eastAsia="Times New Roman" w:hAnsi="Times New Roman" w:cs="Times New Roman"/>
          <w:color w:val="000000" w:themeColor="text1"/>
          <w:sz w:val="24"/>
          <w:szCs w:val="24"/>
        </w:rPr>
        <w:t>Protective clothing for the waste audit team, including overalls, gloves, eye protectors and safety shoes (if required)</w:t>
      </w:r>
    </w:p>
    <w:p w:rsidR="004777A1" w:rsidRPr="004777A1" w:rsidRDefault="004777A1" w:rsidP="004777A1">
      <w:pPr>
        <w:pStyle w:val="ListParagraph"/>
        <w:numPr>
          <w:ilvl w:val="1"/>
          <w:numId w:val="10"/>
        </w:numPr>
        <w:shd w:val="clear" w:color="auto" w:fill="FFFFFF"/>
        <w:rPr>
          <w:rFonts w:ascii="Times New Roman" w:eastAsia="Times New Roman" w:hAnsi="Times New Roman" w:cs="Times New Roman"/>
          <w:color w:val="000000" w:themeColor="text1"/>
          <w:sz w:val="24"/>
          <w:szCs w:val="24"/>
        </w:rPr>
      </w:pPr>
      <w:r w:rsidRPr="004777A1">
        <w:rPr>
          <w:rFonts w:ascii="Times New Roman" w:eastAsia="Times New Roman" w:hAnsi="Times New Roman" w:cs="Times New Roman"/>
          <w:color w:val="000000" w:themeColor="text1"/>
          <w:sz w:val="24"/>
          <w:szCs w:val="24"/>
        </w:rPr>
        <w:t>Camera</w:t>
      </w:r>
    </w:p>
    <w:p w:rsidR="004777A1" w:rsidRPr="004777A1" w:rsidRDefault="004777A1" w:rsidP="004777A1">
      <w:pPr>
        <w:pStyle w:val="ListParagraph"/>
        <w:numPr>
          <w:ilvl w:val="1"/>
          <w:numId w:val="10"/>
        </w:numPr>
        <w:shd w:val="clear" w:color="auto" w:fill="FFFFFF"/>
        <w:rPr>
          <w:rFonts w:ascii="Times New Roman" w:eastAsia="Times New Roman" w:hAnsi="Times New Roman" w:cs="Times New Roman"/>
          <w:color w:val="000000" w:themeColor="text1"/>
          <w:sz w:val="24"/>
          <w:szCs w:val="24"/>
        </w:rPr>
      </w:pPr>
      <w:r w:rsidRPr="004777A1">
        <w:rPr>
          <w:rFonts w:ascii="Times New Roman" w:eastAsia="Times New Roman" w:hAnsi="Times New Roman" w:cs="Times New Roman"/>
          <w:color w:val="000000" w:themeColor="text1"/>
          <w:sz w:val="24"/>
          <w:szCs w:val="24"/>
        </w:rPr>
        <w:t>Weighing scales</w:t>
      </w:r>
    </w:p>
    <w:p w:rsidR="004777A1" w:rsidRPr="004777A1" w:rsidRDefault="004777A1" w:rsidP="004777A1">
      <w:pPr>
        <w:pStyle w:val="ListParagraph"/>
        <w:numPr>
          <w:ilvl w:val="1"/>
          <w:numId w:val="10"/>
        </w:numPr>
        <w:shd w:val="clear" w:color="auto" w:fill="FFFFFF"/>
        <w:rPr>
          <w:rFonts w:ascii="Times New Roman" w:eastAsia="Times New Roman" w:hAnsi="Times New Roman" w:cs="Times New Roman"/>
          <w:color w:val="000000" w:themeColor="text1"/>
          <w:sz w:val="24"/>
          <w:szCs w:val="24"/>
        </w:rPr>
      </w:pPr>
      <w:r w:rsidRPr="004777A1">
        <w:rPr>
          <w:rFonts w:ascii="Times New Roman" w:eastAsia="Times New Roman" w:hAnsi="Times New Roman" w:cs="Times New Roman"/>
          <w:color w:val="000000" w:themeColor="text1"/>
          <w:sz w:val="24"/>
          <w:szCs w:val="24"/>
        </w:rPr>
        <w:t>Printed checklist or tablet/laptop to record the data</w:t>
      </w:r>
    </w:p>
    <w:p w:rsidR="004777A1" w:rsidRPr="004777A1" w:rsidRDefault="004777A1" w:rsidP="004777A1">
      <w:pPr>
        <w:pStyle w:val="ListParagraph"/>
        <w:numPr>
          <w:ilvl w:val="0"/>
          <w:numId w:val="10"/>
        </w:numPr>
        <w:shd w:val="clear" w:color="auto" w:fill="FFFFFF"/>
        <w:rPr>
          <w:rFonts w:ascii="Times New Roman" w:eastAsia="Times New Roman" w:hAnsi="Times New Roman" w:cs="Times New Roman"/>
          <w:color w:val="000000" w:themeColor="text1"/>
          <w:sz w:val="24"/>
          <w:szCs w:val="24"/>
        </w:rPr>
      </w:pPr>
      <w:r w:rsidRPr="004777A1">
        <w:rPr>
          <w:rFonts w:ascii="Times New Roman" w:hAnsi="Times New Roman" w:cs="Times New Roman"/>
          <w:color w:val="000000" w:themeColor="text1"/>
          <w:sz w:val="24"/>
          <w:szCs w:val="24"/>
        </w:rPr>
        <w:t>Go through the garbage</w:t>
      </w:r>
    </w:p>
    <w:p w:rsidR="004777A1" w:rsidRPr="004777A1" w:rsidRDefault="004777A1" w:rsidP="004777A1">
      <w:pPr>
        <w:pStyle w:val="ListParagraph"/>
        <w:numPr>
          <w:ilvl w:val="1"/>
          <w:numId w:val="10"/>
        </w:numPr>
        <w:shd w:val="clear" w:color="auto" w:fill="FFFFFF"/>
        <w:rPr>
          <w:rFonts w:ascii="Times New Roman" w:eastAsia="Times New Roman" w:hAnsi="Times New Roman" w:cs="Times New Roman"/>
          <w:color w:val="000000" w:themeColor="text1"/>
          <w:sz w:val="24"/>
          <w:szCs w:val="24"/>
        </w:rPr>
      </w:pPr>
      <w:r w:rsidRPr="004777A1">
        <w:rPr>
          <w:rFonts w:ascii="Times New Roman" w:eastAsia="Times New Roman" w:hAnsi="Times New Roman" w:cs="Times New Roman"/>
          <w:color w:val="000000" w:themeColor="text1"/>
          <w:sz w:val="24"/>
          <w:szCs w:val="24"/>
        </w:rPr>
        <w:t>On audit day, remove the bags from the secure container and start to group the bags together by collection location.</w:t>
      </w:r>
    </w:p>
    <w:p w:rsidR="004777A1" w:rsidRPr="004777A1" w:rsidRDefault="004777A1" w:rsidP="004777A1">
      <w:pPr>
        <w:pStyle w:val="ListParagraph"/>
        <w:numPr>
          <w:ilvl w:val="1"/>
          <w:numId w:val="10"/>
        </w:numPr>
        <w:shd w:val="clear" w:color="auto" w:fill="FFFFFF"/>
        <w:rPr>
          <w:rFonts w:ascii="Times New Roman" w:eastAsia="Times New Roman" w:hAnsi="Times New Roman" w:cs="Times New Roman"/>
          <w:color w:val="000000" w:themeColor="text1"/>
          <w:sz w:val="24"/>
          <w:szCs w:val="24"/>
        </w:rPr>
      </w:pPr>
      <w:r w:rsidRPr="004777A1">
        <w:rPr>
          <w:rFonts w:ascii="Times New Roman" w:eastAsia="Times New Roman" w:hAnsi="Times New Roman" w:cs="Times New Roman"/>
          <w:color w:val="000000" w:themeColor="text1"/>
          <w:sz w:val="24"/>
          <w:szCs w:val="24"/>
        </w:rPr>
        <w:t xml:space="preserve">Weigh each bag and record the weight, location and stream. </w:t>
      </w:r>
    </w:p>
    <w:p w:rsidR="004777A1" w:rsidRPr="004777A1" w:rsidRDefault="004777A1" w:rsidP="004777A1">
      <w:pPr>
        <w:pStyle w:val="ListParagraph"/>
        <w:numPr>
          <w:ilvl w:val="1"/>
          <w:numId w:val="10"/>
        </w:numPr>
        <w:shd w:val="clear" w:color="auto" w:fill="FFFFFF"/>
        <w:rPr>
          <w:rFonts w:ascii="Times New Roman" w:eastAsia="Times New Roman" w:hAnsi="Times New Roman" w:cs="Times New Roman"/>
          <w:color w:val="000000" w:themeColor="text1"/>
          <w:sz w:val="24"/>
          <w:szCs w:val="24"/>
        </w:rPr>
      </w:pPr>
      <w:r w:rsidRPr="004777A1">
        <w:rPr>
          <w:rFonts w:ascii="Times New Roman" w:eastAsia="Times New Roman" w:hAnsi="Times New Roman" w:cs="Times New Roman"/>
          <w:color w:val="000000" w:themeColor="text1"/>
          <w:sz w:val="24"/>
          <w:szCs w:val="24"/>
        </w:rPr>
        <w:t>Perform a visual assessment of the contents and determine the percentage and type of contamination. (It is helpful to note the actual items causing contamination so that you can communicate this to everyone afterwards.)</w:t>
      </w:r>
    </w:p>
    <w:p w:rsidR="004777A1" w:rsidRPr="004777A1" w:rsidRDefault="004777A1" w:rsidP="004777A1">
      <w:pPr>
        <w:pStyle w:val="ListParagraph"/>
        <w:numPr>
          <w:ilvl w:val="0"/>
          <w:numId w:val="10"/>
        </w:numPr>
        <w:rPr>
          <w:rFonts w:ascii="Times New Roman" w:hAnsi="Times New Roman" w:cs="Times New Roman"/>
          <w:color w:val="000000" w:themeColor="text1"/>
          <w:sz w:val="24"/>
          <w:szCs w:val="24"/>
        </w:rPr>
      </w:pPr>
      <w:r w:rsidRPr="004777A1">
        <w:rPr>
          <w:rFonts w:ascii="Times New Roman" w:hAnsi="Times New Roman" w:cs="Times New Roman"/>
          <w:color w:val="000000" w:themeColor="text1"/>
          <w:sz w:val="24"/>
          <w:szCs w:val="24"/>
        </w:rPr>
        <w:t>Calculate the diversion rate.</w:t>
      </w:r>
      <w:r w:rsidRPr="004777A1">
        <w:rPr>
          <w:rFonts w:ascii="Times New Roman" w:hAnsi="Times New Roman" w:cs="Times New Roman"/>
          <w:color w:val="000000" w:themeColor="text1"/>
          <w:sz w:val="24"/>
          <w:szCs w:val="24"/>
          <w:u w:val="single"/>
        </w:rPr>
        <w:t xml:space="preserve"> </w:t>
      </w:r>
    </w:p>
    <w:p w:rsidR="004777A1" w:rsidRPr="004777A1" w:rsidRDefault="008855EE" w:rsidP="004777A1">
      <w:pPr>
        <w:pStyle w:val="ListParagraph"/>
        <w:numPr>
          <w:ilvl w:val="1"/>
          <w:numId w:val="10"/>
        </w:numPr>
        <w:shd w:val="clear" w:color="auto" w:fill="FFFFFF"/>
        <w:rPr>
          <w:rFonts w:ascii="Times New Roman" w:eastAsia="Times New Roman" w:hAnsi="Times New Roman" w:cs="Times New Roman"/>
          <w:color w:val="000000" w:themeColor="text1"/>
          <w:sz w:val="24"/>
          <w:szCs w:val="24"/>
        </w:rPr>
      </w:pPr>
      <w:r w:rsidRPr="004777A1">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6B937630" wp14:editId="1329FB90">
            <wp:simplePos x="0" y="0"/>
            <wp:positionH relativeFrom="column">
              <wp:posOffset>545728</wp:posOffset>
            </wp:positionH>
            <wp:positionV relativeFrom="paragraph">
              <wp:posOffset>426720</wp:posOffset>
            </wp:positionV>
            <wp:extent cx="4762500" cy="600075"/>
            <wp:effectExtent l="0" t="0" r="0" b="9525"/>
            <wp:wrapSquare wrapText="bothSides"/>
            <wp:docPr id="11" name="Picture 11" descr="Diversion-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version-Formul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600075"/>
                    </a:xfrm>
                    <a:prstGeom prst="rect">
                      <a:avLst/>
                    </a:prstGeom>
                    <a:noFill/>
                    <a:ln>
                      <a:noFill/>
                    </a:ln>
                  </pic:spPr>
                </pic:pic>
              </a:graphicData>
            </a:graphic>
          </wp:anchor>
        </w:drawing>
      </w:r>
      <w:r w:rsidR="004777A1" w:rsidRPr="004777A1">
        <w:rPr>
          <w:rFonts w:ascii="Times New Roman" w:eastAsia="Times New Roman" w:hAnsi="Times New Roman" w:cs="Times New Roman"/>
          <w:color w:val="000000" w:themeColor="text1"/>
          <w:sz w:val="24"/>
          <w:szCs w:val="24"/>
        </w:rPr>
        <w:t>A diversion rate is an easy way to measure how an organization’s recycling program is doing. The simple formula is:</w:t>
      </w:r>
    </w:p>
    <w:p w:rsidR="004777A1" w:rsidRPr="004777A1" w:rsidRDefault="004777A1" w:rsidP="004777A1">
      <w:pPr>
        <w:shd w:val="clear" w:color="auto" w:fill="FFFFFF"/>
        <w:ind w:left="-540"/>
        <w:rPr>
          <w:rFonts w:eastAsia="Times New Roman"/>
          <w:color w:val="000000" w:themeColor="text1"/>
        </w:rPr>
      </w:pPr>
    </w:p>
    <w:p w:rsidR="004777A1" w:rsidRPr="004777A1" w:rsidRDefault="004777A1" w:rsidP="004777A1">
      <w:pPr>
        <w:shd w:val="clear" w:color="auto" w:fill="FFFFFF"/>
        <w:ind w:left="-540"/>
        <w:rPr>
          <w:rFonts w:eastAsia="Times New Roman"/>
          <w:color w:val="000000" w:themeColor="text1"/>
        </w:rPr>
      </w:pPr>
    </w:p>
    <w:p w:rsidR="004777A1" w:rsidRPr="004777A1" w:rsidRDefault="004777A1" w:rsidP="008855EE">
      <w:pPr>
        <w:shd w:val="clear" w:color="auto" w:fill="FFFFFF"/>
        <w:rPr>
          <w:rFonts w:eastAsia="Times New Roman"/>
          <w:color w:val="000000" w:themeColor="text1"/>
        </w:rPr>
      </w:pPr>
    </w:p>
    <w:p w:rsidR="004777A1" w:rsidRPr="004777A1" w:rsidRDefault="004777A1" w:rsidP="004777A1">
      <w:pPr>
        <w:pStyle w:val="ListParagraph"/>
        <w:numPr>
          <w:ilvl w:val="1"/>
          <w:numId w:val="10"/>
        </w:numPr>
        <w:shd w:val="clear" w:color="auto" w:fill="FFFFFF"/>
        <w:rPr>
          <w:rFonts w:ascii="Times New Roman" w:eastAsia="Times New Roman" w:hAnsi="Times New Roman" w:cs="Times New Roman"/>
          <w:color w:val="000000" w:themeColor="text1"/>
          <w:sz w:val="24"/>
          <w:szCs w:val="24"/>
        </w:rPr>
      </w:pPr>
      <w:r w:rsidRPr="004777A1">
        <w:rPr>
          <w:rFonts w:ascii="Times New Roman" w:eastAsia="Times New Roman" w:hAnsi="Times New Roman" w:cs="Times New Roman"/>
          <w:color w:val="000000" w:themeColor="text1"/>
          <w:sz w:val="24"/>
          <w:szCs w:val="24"/>
        </w:rPr>
        <w:t>The weight of recycling includes any organic waste that is collected for compost and any recyclable waste that is diverted from landfill.</w:t>
      </w:r>
    </w:p>
    <w:p w:rsidR="004777A1" w:rsidRPr="004777A1" w:rsidRDefault="004777A1" w:rsidP="004777A1">
      <w:pPr>
        <w:pStyle w:val="ListParagraph"/>
        <w:numPr>
          <w:ilvl w:val="0"/>
          <w:numId w:val="10"/>
        </w:numPr>
        <w:rPr>
          <w:rFonts w:ascii="Times New Roman" w:hAnsi="Times New Roman" w:cs="Times New Roman"/>
          <w:color w:val="000000" w:themeColor="text1"/>
          <w:sz w:val="24"/>
          <w:szCs w:val="24"/>
        </w:rPr>
      </w:pPr>
      <w:r w:rsidRPr="004777A1">
        <w:rPr>
          <w:rFonts w:ascii="Times New Roman" w:hAnsi="Times New Roman" w:cs="Times New Roman"/>
          <w:color w:val="000000" w:themeColor="text1"/>
          <w:sz w:val="24"/>
          <w:szCs w:val="24"/>
        </w:rPr>
        <w:t>Communicate your results.</w:t>
      </w:r>
    </w:p>
    <w:p w:rsidR="004777A1" w:rsidRPr="004777A1" w:rsidRDefault="004777A1" w:rsidP="004777A1">
      <w:pPr>
        <w:pStyle w:val="ListParagraph"/>
        <w:numPr>
          <w:ilvl w:val="1"/>
          <w:numId w:val="10"/>
        </w:numPr>
        <w:shd w:val="clear" w:color="auto" w:fill="FFFFFF"/>
        <w:rPr>
          <w:rFonts w:ascii="Times New Roman" w:eastAsia="Times New Roman" w:hAnsi="Times New Roman" w:cs="Times New Roman"/>
          <w:color w:val="000000" w:themeColor="text1"/>
          <w:sz w:val="24"/>
          <w:szCs w:val="24"/>
        </w:rPr>
      </w:pPr>
      <w:r w:rsidRPr="004777A1">
        <w:rPr>
          <w:rFonts w:ascii="Times New Roman" w:eastAsia="Times New Roman" w:hAnsi="Times New Roman" w:cs="Times New Roman"/>
          <w:color w:val="000000" w:themeColor="text1"/>
          <w:sz w:val="24"/>
          <w:szCs w:val="24"/>
        </w:rPr>
        <w:t xml:space="preserve">Distribute the results of the audit. </w:t>
      </w:r>
    </w:p>
    <w:p w:rsidR="004777A1" w:rsidRPr="004777A1" w:rsidRDefault="004777A1" w:rsidP="004777A1">
      <w:pPr>
        <w:pStyle w:val="ListParagraph"/>
        <w:numPr>
          <w:ilvl w:val="1"/>
          <w:numId w:val="10"/>
        </w:numPr>
        <w:shd w:val="clear" w:color="auto" w:fill="FFFFFF"/>
        <w:rPr>
          <w:rFonts w:ascii="Times New Roman" w:eastAsia="Times New Roman" w:hAnsi="Times New Roman" w:cs="Times New Roman"/>
          <w:color w:val="000000" w:themeColor="text1"/>
          <w:sz w:val="24"/>
          <w:szCs w:val="24"/>
        </w:rPr>
      </w:pPr>
      <w:r w:rsidRPr="004777A1">
        <w:rPr>
          <w:rFonts w:ascii="Times New Roman" w:eastAsia="Times New Roman" w:hAnsi="Times New Roman" w:cs="Times New Roman"/>
          <w:color w:val="000000" w:themeColor="text1"/>
          <w:sz w:val="24"/>
          <w:szCs w:val="24"/>
        </w:rPr>
        <w:t xml:space="preserve">Highlight any areas for improvement by posting images of key contaminants by the bins for awareness. </w:t>
      </w:r>
    </w:p>
    <w:p w:rsidR="004777A1" w:rsidRPr="004777A1" w:rsidRDefault="004777A1" w:rsidP="004777A1">
      <w:pPr>
        <w:pStyle w:val="ListParagraph"/>
        <w:numPr>
          <w:ilvl w:val="1"/>
          <w:numId w:val="10"/>
        </w:numPr>
        <w:shd w:val="clear" w:color="auto" w:fill="FFFFFF"/>
        <w:rPr>
          <w:rFonts w:ascii="Times New Roman" w:eastAsia="Times New Roman" w:hAnsi="Times New Roman" w:cs="Times New Roman"/>
          <w:color w:val="000000" w:themeColor="text1"/>
          <w:sz w:val="24"/>
          <w:szCs w:val="24"/>
        </w:rPr>
      </w:pPr>
      <w:r w:rsidRPr="004777A1">
        <w:rPr>
          <w:rFonts w:ascii="Times New Roman" w:eastAsia="Times New Roman" w:hAnsi="Times New Roman" w:cs="Times New Roman"/>
          <w:color w:val="000000" w:themeColor="text1"/>
          <w:sz w:val="24"/>
          <w:szCs w:val="24"/>
        </w:rPr>
        <w:t>Share the waste audit with staff to reinforce recycling goals, and to raise awareness of the bin locations and recyclables in your facility.</w:t>
      </w:r>
    </w:p>
    <w:p w:rsidR="004777A1" w:rsidRPr="004777A1" w:rsidRDefault="004777A1" w:rsidP="008855EE">
      <w:bookmarkStart w:id="3" w:name="_Toc74050013"/>
    </w:p>
    <w:p w:rsidR="004777A1" w:rsidRPr="004777A1" w:rsidRDefault="00801AD1" w:rsidP="004777A1">
      <w:pPr>
        <w:pStyle w:val="Heading2"/>
        <w:spacing w:before="0"/>
        <w:ind w:left="-54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IV</w:t>
      </w:r>
      <w:r w:rsidR="004777A1">
        <w:rPr>
          <w:rFonts w:ascii="Times New Roman" w:hAnsi="Times New Roman" w:cs="Times New Roman"/>
          <w:b/>
          <w:color w:val="000000" w:themeColor="text1"/>
          <w:sz w:val="24"/>
          <w:szCs w:val="24"/>
        </w:rPr>
        <w:t xml:space="preserve">. </w:t>
      </w:r>
      <w:r w:rsidR="004777A1" w:rsidRPr="004777A1">
        <w:rPr>
          <w:rFonts w:ascii="Times New Roman" w:hAnsi="Times New Roman" w:cs="Times New Roman"/>
          <w:b/>
          <w:color w:val="000000" w:themeColor="text1"/>
          <w:sz w:val="24"/>
          <w:szCs w:val="24"/>
        </w:rPr>
        <w:t>Food Recovery Strategies</w:t>
      </w:r>
      <w:bookmarkEnd w:id="3"/>
    </w:p>
    <w:p w:rsidR="004777A1" w:rsidRPr="004777A1" w:rsidRDefault="00801AD1" w:rsidP="004777A1">
      <w:pPr>
        <w:shd w:val="clear" w:color="auto" w:fill="FFFFFF"/>
        <w:ind w:left="-540"/>
        <w:rPr>
          <w:rFonts w:eastAsia="Times New Roman"/>
          <w:color w:val="000000" w:themeColor="text1"/>
        </w:rPr>
      </w:pPr>
      <w:r w:rsidRPr="004777A1">
        <w:rPr>
          <w:noProof/>
          <w:color w:val="000000" w:themeColor="text1"/>
        </w:rPr>
        <w:drawing>
          <wp:anchor distT="0" distB="0" distL="114300" distR="114300" simplePos="0" relativeHeight="251660288" behindDoc="0" locked="0" layoutInCell="1" allowOverlap="1" wp14:anchorId="20C61D5B" wp14:editId="6B60E8E6">
            <wp:simplePos x="0" y="0"/>
            <wp:positionH relativeFrom="column">
              <wp:posOffset>993879</wp:posOffset>
            </wp:positionH>
            <wp:positionV relativeFrom="paragraph">
              <wp:posOffset>749935</wp:posOffset>
            </wp:positionV>
            <wp:extent cx="3962400" cy="3479800"/>
            <wp:effectExtent l="0" t="0" r="0" b="6350"/>
            <wp:wrapTopAndBottom/>
            <wp:docPr id="6" name="Picture 6" descr="this is the food recovery hierarchy in English" title="EPA Food Recovery 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is the food recovery hierarchy in English">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2400" cy="3479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77A1" w:rsidRPr="004777A1">
        <w:rPr>
          <w:rFonts w:eastAsia="Times New Roman"/>
          <w:color w:val="000000" w:themeColor="text1"/>
        </w:rPr>
        <w:t>The Food Recovery Hierarchy prioritizes actions organizations can take to prevent and divert food waste. Each tier of the Food Recovery Hierarchy focuses on different management strategy for waste food:</w:t>
      </w:r>
    </w:p>
    <w:p w:rsidR="004777A1" w:rsidRDefault="004777A1" w:rsidP="004777A1">
      <w:pPr>
        <w:ind w:left="-540"/>
        <w:rPr>
          <w:rFonts w:eastAsia="Times New Roman"/>
          <w:color w:val="000000" w:themeColor="text1"/>
        </w:rPr>
      </w:pPr>
      <w:r w:rsidRPr="004777A1">
        <w:rPr>
          <w:rFonts w:eastAsia="Times New Roman"/>
          <w:color w:val="000000" w:themeColor="text1"/>
        </w:rPr>
        <w:lastRenderedPageBreak/>
        <w:t>The top levels of the hierarchy are the most effective ways to prevent and divert wasted food because they create the most benefits for the environment, society and the economy. Click on the links below to learn more about the tiers of the hierarchy.</w:t>
      </w:r>
    </w:p>
    <w:p w:rsidR="00965E51" w:rsidRPr="00801AD1" w:rsidRDefault="0098099B" w:rsidP="00965E51">
      <w:pPr>
        <w:numPr>
          <w:ilvl w:val="0"/>
          <w:numId w:val="4"/>
        </w:numPr>
        <w:shd w:val="clear" w:color="auto" w:fill="FFFFFF"/>
        <w:spacing w:before="100" w:beforeAutospacing="1" w:after="60" w:line="259" w:lineRule="auto"/>
        <w:rPr>
          <w:rFonts w:eastAsiaTheme="minorHAnsi"/>
          <w:color w:val="212121"/>
          <w:szCs w:val="22"/>
        </w:rPr>
      </w:pPr>
      <w:hyperlink r:id="rId12" w:history="1">
        <w:r w:rsidR="00965E51" w:rsidRPr="00801AD1">
          <w:rPr>
            <w:rFonts w:eastAsiaTheme="minorHAnsi"/>
            <w:color w:val="0071BC"/>
            <w:szCs w:val="22"/>
            <w:u w:val="single"/>
          </w:rPr>
          <w:t>Source Reduction</w:t>
        </w:r>
      </w:hyperlink>
    </w:p>
    <w:p w:rsidR="00965E51" w:rsidRPr="00801AD1" w:rsidRDefault="0098099B" w:rsidP="00965E51">
      <w:pPr>
        <w:numPr>
          <w:ilvl w:val="0"/>
          <w:numId w:val="4"/>
        </w:numPr>
        <w:shd w:val="clear" w:color="auto" w:fill="FFFFFF"/>
        <w:spacing w:before="100" w:beforeAutospacing="1" w:after="60" w:line="259" w:lineRule="auto"/>
        <w:rPr>
          <w:rFonts w:eastAsiaTheme="minorHAnsi"/>
          <w:color w:val="212121"/>
          <w:szCs w:val="22"/>
        </w:rPr>
      </w:pPr>
      <w:hyperlink r:id="rId13" w:history="1">
        <w:r w:rsidR="00965E51" w:rsidRPr="00801AD1">
          <w:rPr>
            <w:rFonts w:eastAsiaTheme="minorHAnsi"/>
            <w:color w:val="0071BC"/>
            <w:szCs w:val="22"/>
            <w:u w:val="single"/>
          </w:rPr>
          <w:t>Feed Hungry People</w:t>
        </w:r>
      </w:hyperlink>
    </w:p>
    <w:p w:rsidR="00965E51" w:rsidRPr="00801AD1" w:rsidRDefault="0098099B" w:rsidP="00965E51">
      <w:pPr>
        <w:numPr>
          <w:ilvl w:val="0"/>
          <w:numId w:val="4"/>
        </w:numPr>
        <w:shd w:val="clear" w:color="auto" w:fill="FFFFFF"/>
        <w:spacing w:before="100" w:beforeAutospacing="1" w:after="60" w:line="259" w:lineRule="auto"/>
        <w:rPr>
          <w:rFonts w:eastAsiaTheme="minorHAnsi"/>
          <w:color w:val="212121"/>
          <w:szCs w:val="22"/>
        </w:rPr>
      </w:pPr>
      <w:hyperlink r:id="rId14" w:history="1">
        <w:r w:rsidR="00965E51" w:rsidRPr="00801AD1">
          <w:rPr>
            <w:rFonts w:eastAsiaTheme="minorHAnsi"/>
            <w:color w:val="0071BC"/>
            <w:szCs w:val="22"/>
            <w:u w:val="single"/>
          </w:rPr>
          <w:t>Feed Animals</w:t>
        </w:r>
      </w:hyperlink>
    </w:p>
    <w:p w:rsidR="00965E51" w:rsidRPr="00801AD1" w:rsidRDefault="0098099B" w:rsidP="00965E51">
      <w:pPr>
        <w:numPr>
          <w:ilvl w:val="0"/>
          <w:numId w:val="4"/>
        </w:numPr>
        <w:shd w:val="clear" w:color="auto" w:fill="FFFFFF"/>
        <w:spacing w:before="100" w:beforeAutospacing="1" w:after="60" w:line="259" w:lineRule="auto"/>
        <w:rPr>
          <w:rFonts w:eastAsiaTheme="minorHAnsi"/>
          <w:color w:val="212121"/>
          <w:szCs w:val="22"/>
        </w:rPr>
      </w:pPr>
      <w:hyperlink r:id="rId15" w:history="1">
        <w:r w:rsidR="00965E51" w:rsidRPr="00801AD1">
          <w:rPr>
            <w:rFonts w:eastAsiaTheme="minorHAnsi"/>
            <w:color w:val="0071BC"/>
            <w:szCs w:val="22"/>
            <w:u w:val="single"/>
          </w:rPr>
          <w:t>Industrial Uses</w:t>
        </w:r>
      </w:hyperlink>
    </w:p>
    <w:p w:rsidR="00965E51" w:rsidRPr="00801AD1" w:rsidRDefault="0098099B" w:rsidP="00965E51">
      <w:pPr>
        <w:numPr>
          <w:ilvl w:val="0"/>
          <w:numId w:val="4"/>
        </w:numPr>
        <w:shd w:val="clear" w:color="auto" w:fill="FFFFFF"/>
        <w:spacing w:before="100" w:beforeAutospacing="1" w:after="60" w:line="259" w:lineRule="auto"/>
        <w:rPr>
          <w:rFonts w:eastAsiaTheme="minorHAnsi"/>
          <w:color w:val="212121"/>
          <w:szCs w:val="22"/>
        </w:rPr>
      </w:pPr>
      <w:hyperlink r:id="rId16" w:history="1">
        <w:r w:rsidR="00965E51" w:rsidRPr="00801AD1">
          <w:rPr>
            <w:rFonts w:eastAsiaTheme="minorHAnsi"/>
            <w:color w:val="0071BC"/>
            <w:szCs w:val="22"/>
            <w:u w:val="single"/>
          </w:rPr>
          <w:t>Composting</w:t>
        </w:r>
      </w:hyperlink>
    </w:p>
    <w:p w:rsidR="00965E51" w:rsidRDefault="00965E51" w:rsidP="004777A1">
      <w:pPr>
        <w:ind w:left="-540"/>
        <w:rPr>
          <w:rFonts w:eastAsia="Times New Roman"/>
          <w:color w:val="000000" w:themeColor="text1"/>
        </w:rPr>
      </w:pPr>
    </w:p>
    <w:p w:rsidR="00801AD1" w:rsidRPr="00801AD1" w:rsidRDefault="00801AD1" w:rsidP="00801AD1">
      <w:pPr>
        <w:ind w:left="-540"/>
        <w:rPr>
          <w:rFonts w:eastAsia="Times New Roman"/>
          <w:b/>
          <w:color w:val="000000" w:themeColor="text1"/>
        </w:rPr>
      </w:pPr>
      <w:r w:rsidRPr="00801AD1">
        <w:rPr>
          <w:rFonts w:eastAsia="Times New Roman"/>
          <w:b/>
          <w:color w:val="000000" w:themeColor="text1"/>
        </w:rPr>
        <w:t>Composting resources</w:t>
      </w:r>
    </w:p>
    <w:p w:rsidR="00801AD1" w:rsidRPr="00801AD1" w:rsidRDefault="00801AD1" w:rsidP="00801AD1">
      <w:pPr>
        <w:ind w:left="-540"/>
        <w:rPr>
          <w:rFonts w:eastAsia="Times New Roman"/>
          <w:color w:val="000000" w:themeColor="text1"/>
        </w:rPr>
      </w:pPr>
      <w:r w:rsidRPr="00801AD1">
        <w:rPr>
          <w:rFonts w:eastAsia="Times New Roman"/>
          <w:color w:val="000000" w:themeColor="text1"/>
        </w:rPr>
        <w:t>Below are resources that could be helpful in establishing a composting collection system:</w:t>
      </w:r>
    </w:p>
    <w:p w:rsidR="00801AD1" w:rsidRPr="00801AD1" w:rsidRDefault="00801AD1" w:rsidP="00801AD1">
      <w:pPr>
        <w:pStyle w:val="ListParagraph"/>
        <w:numPr>
          <w:ilvl w:val="0"/>
          <w:numId w:val="13"/>
        </w:numPr>
        <w:rPr>
          <w:rFonts w:ascii="Times New Roman" w:eastAsia="Times New Roman" w:hAnsi="Times New Roman" w:cs="Times New Roman"/>
          <w:color w:val="000000" w:themeColor="text1"/>
          <w:sz w:val="24"/>
        </w:rPr>
      </w:pPr>
      <w:r w:rsidRPr="00801AD1">
        <w:rPr>
          <w:rFonts w:ascii="Times New Roman" w:eastAsia="Times New Roman" w:hAnsi="Times New Roman" w:cs="Times New Roman"/>
          <w:color w:val="000000" w:themeColor="text1"/>
          <w:sz w:val="24"/>
        </w:rPr>
        <w:t xml:space="preserve">The </w:t>
      </w:r>
      <w:hyperlink r:id="rId17" w:history="1">
        <w:r w:rsidRPr="00801AD1">
          <w:rPr>
            <w:rStyle w:val="Hyperlink"/>
            <w:rFonts w:ascii="Times New Roman" w:eastAsia="Times New Roman" w:hAnsi="Times New Roman" w:cs="Times New Roman"/>
            <w:sz w:val="24"/>
          </w:rPr>
          <w:t>Virginia Green Sustainable Event Guide</w:t>
        </w:r>
      </w:hyperlink>
      <w:r w:rsidRPr="00801AD1">
        <w:rPr>
          <w:rFonts w:ascii="Times New Roman" w:eastAsia="Times New Roman" w:hAnsi="Times New Roman" w:cs="Times New Roman"/>
          <w:color w:val="000000" w:themeColor="text1"/>
          <w:sz w:val="24"/>
        </w:rPr>
        <w:t xml:space="preserve"> has a section on food waste and composting collection.</w:t>
      </w:r>
    </w:p>
    <w:p w:rsidR="00801AD1" w:rsidRPr="00801AD1" w:rsidRDefault="0098099B" w:rsidP="00801AD1">
      <w:pPr>
        <w:pStyle w:val="ListParagraph"/>
        <w:numPr>
          <w:ilvl w:val="0"/>
          <w:numId w:val="13"/>
        </w:numPr>
        <w:rPr>
          <w:rFonts w:ascii="Times New Roman" w:eastAsia="Times New Roman" w:hAnsi="Times New Roman" w:cs="Times New Roman"/>
          <w:color w:val="000000" w:themeColor="text1"/>
          <w:sz w:val="24"/>
        </w:rPr>
      </w:pPr>
      <w:hyperlink r:id="rId18" w:history="1">
        <w:r w:rsidR="00801AD1" w:rsidRPr="00801AD1">
          <w:rPr>
            <w:rStyle w:val="Hyperlink"/>
            <w:rFonts w:ascii="Times New Roman" w:eastAsia="Times New Roman" w:hAnsi="Times New Roman" w:cs="Times New Roman"/>
            <w:sz w:val="24"/>
          </w:rPr>
          <w:t>FindAComposter.com</w:t>
        </w:r>
      </w:hyperlink>
      <w:r w:rsidR="00801AD1" w:rsidRPr="00801AD1">
        <w:rPr>
          <w:rFonts w:ascii="Times New Roman" w:eastAsia="Times New Roman" w:hAnsi="Times New Roman" w:cs="Times New Roman"/>
          <w:color w:val="000000" w:themeColor="text1"/>
          <w:sz w:val="24"/>
        </w:rPr>
        <w:t xml:space="preserve"> is a tool sponsored by the Biodegradable Products Institute, the Foodservice Packaging Institute, the Closed Loop Foundation and the Institute for Local Self-Reliance to make it easier to find compost facilities. </w:t>
      </w:r>
    </w:p>
    <w:p w:rsidR="00801AD1" w:rsidRPr="00801AD1" w:rsidRDefault="00801AD1" w:rsidP="00801AD1">
      <w:pPr>
        <w:pStyle w:val="ListParagraph"/>
        <w:numPr>
          <w:ilvl w:val="0"/>
          <w:numId w:val="13"/>
        </w:numPr>
        <w:rPr>
          <w:rFonts w:ascii="Times New Roman" w:eastAsia="Times New Roman" w:hAnsi="Times New Roman" w:cs="Times New Roman"/>
          <w:color w:val="000000" w:themeColor="text1"/>
          <w:sz w:val="24"/>
        </w:rPr>
      </w:pPr>
      <w:r w:rsidRPr="00801AD1">
        <w:rPr>
          <w:rFonts w:ascii="Times New Roman" w:eastAsia="Times New Roman" w:hAnsi="Times New Roman" w:cs="Times New Roman"/>
          <w:color w:val="000000" w:themeColor="text1"/>
          <w:sz w:val="24"/>
        </w:rPr>
        <w:t xml:space="preserve">The Virginia Cooperative Extension put together a </w:t>
      </w:r>
      <w:hyperlink r:id="rId19" w:history="1">
        <w:r w:rsidRPr="00801AD1">
          <w:rPr>
            <w:rStyle w:val="Hyperlink"/>
            <w:rFonts w:ascii="Times New Roman" w:eastAsia="Times New Roman" w:hAnsi="Times New Roman" w:cs="Times New Roman"/>
            <w:sz w:val="24"/>
          </w:rPr>
          <w:t>Mid-Atlantic Composting Directory</w:t>
        </w:r>
      </w:hyperlink>
      <w:r w:rsidRPr="00801AD1">
        <w:rPr>
          <w:rFonts w:ascii="Times New Roman" w:eastAsia="Times New Roman" w:hAnsi="Times New Roman" w:cs="Times New Roman"/>
          <w:color w:val="000000" w:themeColor="text1"/>
          <w:sz w:val="24"/>
        </w:rPr>
        <w:t xml:space="preserve"> to provide contact information.</w:t>
      </w:r>
    </w:p>
    <w:p w:rsidR="004777A1" w:rsidRDefault="004777A1" w:rsidP="008855EE"/>
    <w:p w:rsidR="004777A1" w:rsidRPr="004777A1" w:rsidRDefault="004777A1" w:rsidP="004777A1">
      <w:pPr>
        <w:pStyle w:val="Heading2"/>
        <w:spacing w:before="0"/>
        <w:ind w:left="-540"/>
        <w:rPr>
          <w:rStyle w:val="Hyperlink"/>
          <w:rFonts w:ascii="Times New Roman" w:hAnsi="Times New Roman" w:cs="Times New Roman"/>
          <w:b/>
          <w:color w:val="auto"/>
          <w:sz w:val="24"/>
          <w:szCs w:val="24"/>
          <w:u w:val="none"/>
        </w:rPr>
      </w:pPr>
      <w:r w:rsidRPr="004777A1">
        <w:rPr>
          <w:rFonts w:ascii="Times New Roman" w:hAnsi="Times New Roman" w:cs="Times New Roman"/>
          <w:b/>
          <w:color w:val="auto"/>
          <w:sz w:val="24"/>
          <w:szCs w:val="24"/>
        </w:rPr>
        <w:t xml:space="preserve">V. </w:t>
      </w:r>
      <w:hyperlink r:id="rId20" w:history="1">
        <w:bookmarkStart w:id="4" w:name="_Toc74050016"/>
        <w:r w:rsidRPr="004777A1">
          <w:rPr>
            <w:rStyle w:val="Hyperlink"/>
            <w:rFonts w:ascii="Times New Roman" w:hAnsi="Times New Roman" w:cs="Times New Roman"/>
            <w:b/>
            <w:color w:val="auto"/>
            <w:sz w:val="24"/>
            <w:szCs w:val="24"/>
            <w:u w:val="none"/>
          </w:rPr>
          <w:t>Environmentally Responsible Purchasing Practices</w:t>
        </w:r>
        <w:bookmarkEnd w:id="4"/>
      </w:hyperlink>
    </w:p>
    <w:p w:rsidR="004777A1" w:rsidRDefault="00801AD1" w:rsidP="004777A1">
      <w:pPr>
        <w:ind w:left="-540"/>
        <w:rPr>
          <w:color w:val="000000" w:themeColor="text1"/>
        </w:rPr>
      </w:pPr>
      <w:r w:rsidRPr="00801AD1">
        <w:rPr>
          <w:color w:val="000000" w:themeColor="text1"/>
        </w:rPr>
        <w:t xml:space="preserve">Environmental preferable purchasing is a cost-effective way to reduce an agencies’ impact on the environment. When purchasing reusable plastic items, agencies should seek items that are better for the environment, such as those with higher recycled content, biodegradability, and/or durability. Visit the </w:t>
      </w:r>
      <w:hyperlink r:id="rId21" w:history="1">
        <w:r w:rsidRPr="00801AD1">
          <w:rPr>
            <w:rStyle w:val="Hyperlink"/>
          </w:rPr>
          <w:t>Environmentally Preferable Purchasing</w:t>
        </w:r>
      </w:hyperlink>
      <w:r w:rsidRPr="00801AD1">
        <w:rPr>
          <w:color w:val="000000" w:themeColor="text1"/>
        </w:rPr>
        <w:t xml:space="preserve"> page for more information.</w:t>
      </w:r>
    </w:p>
    <w:p w:rsidR="00801AD1" w:rsidRPr="004777A1" w:rsidRDefault="00801AD1" w:rsidP="004777A1">
      <w:pPr>
        <w:ind w:left="-540"/>
        <w:rPr>
          <w:color w:val="000000" w:themeColor="text1"/>
        </w:rPr>
      </w:pPr>
    </w:p>
    <w:p w:rsidR="004777A1" w:rsidRPr="004777A1" w:rsidRDefault="004777A1" w:rsidP="004777A1">
      <w:pPr>
        <w:ind w:left="-540"/>
        <w:rPr>
          <w:i/>
          <w:color w:val="000000" w:themeColor="text1"/>
        </w:rPr>
      </w:pPr>
      <w:bookmarkStart w:id="5" w:name="_Toc74050017"/>
      <w:r w:rsidRPr="004777A1">
        <w:rPr>
          <w:rStyle w:val="Heading2Char"/>
          <w:rFonts w:ascii="Times New Roman" w:hAnsi="Times New Roman" w:cs="Times New Roman"/>
          <w:b/>
          <w:color w:val="000000" w:themeColor="text1"/>
          <w:sz w:val="24"/>
          <w:szCs w:val="24"/>
        </w:rPr>
        <w:t>Life Cycle Assessment</w:t>
      </w:r>
      <w:bookmarkEnd w:id="5"/>
      <w:r w:rsidRPr="004777A1">
        <w:rPr>
          <w:i/>
          <w:color w:val="000000" w:themeColor="text1"/>
        </w:rPr>
        <w:t xml:space="preserve"> </w:t>
      </w:r>
    </w:p>
    <w:p w:rsidR="004777A1" w:rsidRPr="004777A1" w:rsidRDefault="004777A1" w:rsidP="004777A1">
      <w:pPr>
        <w:ind w:left="-540"/>
        <w:textAlignment w:val="baseline"/>
        <w:rPr>
          <w:bCs/>
          <w:color w:val="000000" w:themeColor="text1"/>
          <w:shd w:val="clear" w:color="auto" w:fill="FFFFFF"/>
        </w:rPr>
      </w:pPr>
      <w:r w:rsidRPr="004777A1">
        <w:rPr>
          <w:rFonts w:eastAsia="Times New Roman"/>
          <w:color w:val="000000" w:themeColor="text1"/>
          <w:bdr w:val="none" w:sz="0" w:space="0" w:color="auto" w:frame="1"/>
        </w:rPr>
        <w:t>Life-cycle assessment (LCA) is a tool for assessing a product, building or service’s lifetime environmental impact. </w:t>
      </w:r>
      <w:r w:rsidRPr="004777A1">
        <w:rPr>
          <w:rFonts w:eastAsia="Times New Roman"/>
          <w:color w:val="000000" w:themeColor="text1"/>
        </w:rPr>
        <w:t>LCA takes into consideration all of the steps, from raw material to manufacture, to distribution and usage, to final disposal. It is</w:t>
      </w:r>
      <w:r w:rsidRPr="004777A1">
        <w:rPr>
          <w:color w:val="000000" w:themeColor="text1"/>
          <w:shd w:val="clear" w:color="auto" w:fill="FFFFFF"/>
        </w:rPr>
        <w:t xml:space="preserve"> a cradle-to-grave or cradle-to-cradle </w:t>
      </w:r>
      <w:r w:rsidRPr="004777A1">
        <w:rPr>
          <w:bCs/>
          <w:color w:val="000000" w:themeColor="text1"/>
          <w:shd w:val="clear" w:color="auto" w:fill="FFFFFF"/>
        </w:rPr>
        <w:t>analysis. While a full LCA may be beyond the capability of an individual agency or institution, agencies and institutions should consider end-of-life options in the purchasing process (i.e., can the item be reused, recycled or composted; will it require special disposal handling, etc.).</w:t>
      </w:r>
    </w:p>
    <w:p w:rsidR="004777A1" w:rsidRPr="004777A1" w:rsidRDefault="004777A1" w:rsidP="004777A1">
      <w:pPr>
        <w:ind w:left="-540"/>
        <w:textAlignment w:val="baseline"/>
        <w:rPr>
          <w:rFonts w:eastAsia="Times New Roman"/>
          <w:color w:val="000000" w:themeColor="text1"/>
        </w:rPr>
      </w:pPr>
    </w:p>
    <w:p w:rsidR="004777A1" w:rsidRPr="004777A1" w:rsidRDefault="004777A1" w:rsidP="004777A1">
      <w:pPr>
        <w:ind w:left="-540"/>
        <w:textAlignment w:val="baseline"/>
        <w:rPr>
          <w:rFonts w:eastAsia="Times New Roman"/>
          <w:color w:val="000000" w:themeColor="text1"/>
        </w:rPr>
      </w:pPr>
      <w:r w:rsidRPr="004777A1">
        <w:rPr>
          <w:rFonts w:eastAsia="Times New Roman"/>
          <w:color w:val="000000" w:themeColor="text1"/>
        </w:rPr>
        <w:t>Calculating greenhouse gas emissions (or a carbon footprint) is just one dimension of an LCA, which can also assess impacts such as ozone depletion, eutrophication, impact on human health and more.</w:t>
      </w:r>
    </w:p>
    <w:p w:rsidR="004777A1" w:rsidRPr="004777A1" w:rsidRDefault="004777A1" w:rsidP="004777A1">
      <w:pPr>
        <w:textAlignment w:val="baseline"/>
        <w:rPr>
          <w:rFonts w:eastAsia="Times New Roman"/>
          <w:color w:val="000000" w:themeColor="text1"/>
        </w:rPr>
      </w:pPr>
      <w:r>
        <w:rPr>
          <w:noProof/>
        </w:rPr>
        <w:lastRenderedPageBreak/>
        <mc:AlternateContent>
          <mc:Choice Requires="wps">
            <w:drawing>
              <wp:anchor distT="0" distB="0" distL="114300" distR="114300" simplePos="0" relativeHeight="251663360" behindDoc="0" locked="0" layoutInCell="1" allowOverlap="1" wp14:anchorId="24F54E80" wp14:editId="71D13F8B">
                <wp:simplePos x="0" y="0"/>
                <wp:positionH relativeFrom="column">
                  <wp:posOffset>1424940</wp:posOffset>
                </wp:positionH>
                <wp:positionV relativeFrom="paragraph">
                  <wp:posOffset>3376295</wp:posOffset>
                </wp:positionV>
                <wp:extent cx="3147060" cy="635"/>
                <wp:effectExtent l="0" t="0" r="0" b="0"/>
                <wp:wrapTopAndBottom/>
                <wp:docPr id="1" name="Text Box 1" descr="Life-cycle assessment stages"/>
                <wp:cNvGraphicFramePr/>
                <a:graphic xmlns:a="http://schemas.openxmlformats.org/drawingml/2006/main">
                  <a:graphicData uri="http://schemas.microsoft.com/office/word/2010/wordprocessingShape">
                    <wps:wsp>
                      <wps:cNvSpPr txBox="1"/>
                      <wps:spPr>
                        <a:xfrm>
                          <a:off x="0" y="0"/>
                          <a:ext cx="3147060" cy="635"/>
                        </a:xfrm>
                        <a:prstGeom prst="rect">
                          <a:avLst/>
                        </a:prstGeom>
                        <a:solidFill>
                          <a:prstClr val="white"/>
                        </a:solidFill>
                        <a:ln>
                          <a:noFill/>
                        </a:ln>
                      </wps:spPr>
                      <wps:txbx>
                        <w:txbxContent>
                          <w:p w:rsidR="004777A1" w:rsidRPr="004777A1" w:rsidRDefault="004777A1" w:rsidP="004777A1">
                            <w:pPr>
                              <w:pStyle w:val="Caption"/>
                              <w:jc w:val="center"/>
                              <w:rPr>
                                <w:rFonts w:eastAsia="Times New Roman"/>
                                <w:noProof/>
                                <w:color w:val="auto"/>
                                <w:sz w:val="24"/>
                                <w:szCs w:val="24"/>
                                <w:bdr w:val="none" w:sz="0" w:space="0" w:color="auto" w:frame="1"/>
                              </w:rPr>
                            </w:pPr>
                            <w:r w:rsidRPr="004777A1">
                              <w:rPr>
                                <w:color w:val="auto"/>
                              </w:rPr>
                              <w:t>Life-cycle assessment stages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4F54E80" id="_x0000_t202" coordsize="21600,21600" o:spt="202" path="m,l,21600r21600,l21600,xe">
                <v:stroke joinstyle="miter"/>
                <v:path gradientshapeok="t" o:connecttype="rect"/>
              </v:shapetype>
              <v:shape id="Text Box 1" o:spid="_x0000_s1026" type="#_x0000_t202" alt="Life-cycle assessment stages" style="position:absolute;margin-left:112.2pt;margin-top:265.85pt;width:247.8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" stroked="f">
                <v:textbox style="mso-fit-shape-to-text:t" inset="0,0,0,0">
                  <w:txbxContent>
                    <w:p w:rsidR="004777A1" w:rsidRPr="004777A1" w:rsidRDefault="004777A1" w:rsidP="004777A1">
                      <w:pPr>
                        <w:pStyle w:val="Caption"/>
                        <w:jc w:val="center"/>
                        <w:rPr>
                          <w:rFonts w:eastAsia="Times New Roman"/>
                          <w:noProof/>
                          <w:color w:val="auto"/>
                          <w:sz w:val="24"/>
                          <w:szCs w:val="24"/>
                          <w:bdr w:val="none" w:sz="0" w:space="0" w:color="auto" w:frame="1"/>
                        </w:rPr>
                      </w:pPr>
                      <w:r w:rsidRPr="004777A1">
                        <w:rPr>
                          <w:color w:val="auto"/>
                        </w:rPr>
                        <w:t>Life-cycle assessment stages</w:t>
                      </w:r>
                    </w:p>
                  </w:txbxContent>
                </v:textbox>
                <w10:wrap type="topAndBottom"/>
              </v:shape>
            </w:pict>
          </mc:Fallback>
        </mc:AlternateContent>
      </w:r>
      <w:r w:rsidRPr="004777A1">
        <w:rPr>
          <w:rFonts w:eastAsia="Times New Roman"/>
          <w:noProof/>
          <w:color w:val="000000" w:themeColor="text1"/>
          <w:bdr w:val="none" w:sz="0" w:space="0" w:color="auto" w:frame="1"/>
        </w:rPr>
        <w:drawing>
          <wp:anchor distT="0" distB="0" distL="114300" distR="114300" simplePos="0" relativeHeight="251661312" behindDoc="0" locked="0" layoutInCell="1" allowOverlap="1" wp14:anchorId="7FD3AC46" wp14:editId="7684E8D8">
            <wp:simplePos x="0" y="0"/>
            <wp:positionH relativeFrom="column">
              <wp:posOffset>1348740</wp:posOffset>
            </wp:positionH>
            <wp:positionV relativeFrom="paragraph">
              <wp:posOffset>309245</wp:posOffset>
            </wp:positionV>
            <wp:extent cx="3147060" cy="3147060"/>
            <wp:effectExtent l="0" t="0" r="0" b="0"/>
            <wp:wrapTopAndBottom/>
            <wp:docPr id="7" name="Picture 7" descr="Life Cycle Assessment st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neclicklca.com/wp-content/uploads/2021/02/Asset-2@2x.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47060" cy="31470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77A1" w:rsidRPr="004777A1" w:rsidRDefault="004777A1" w:rsidP="004777A1">
      <w:pPr>
        <w:spacing w:line="0" w:lineRule="auto"/>
        <w:ind w:left="-540"/>
        <w:textAlignment w:val="baseline"/>
        <w:rPr>
          <w:rFonts w:eastAsia="Times New Roman"/>
          <w:color w:val="000000" w:themeColor="text1"/>
        </w:rPr>
      </w:pPr>
    </w:p>
    <w:p w:rsidR="004777A1" w:rsidRDefault="004777A1" w:rsidP="004777A1">
      <w:pPr>
        <w:ind w:left="-540"/>
        <w:textAlignment w:val="baseline"/>
        <w:rPr>
          <w:color w:val="000000" w:themeColor="text1"/>
          <w:spacing w:val="-1"/>
          <w:shd w:val="clear" w:color="auto" w:fill="FFFFFF"/>
        </w:rPr>
      </w:pPr>
    </w:p>
    <w:p w:rsidR="004777A1" w:rsidRPr="004777A1" w:rsidRDefault="004777A1" w:rsidP="004777A1">
      <w:pPr>
        <w:ind w:left="-540"/>
        <w:textAlignment w:val="baseline"/>
        <w:rPr>
          <w:color w:val="000000" w:themeColor="text1"/>
          <w:spacing w:val="-1"/>
          <w:shd w:val="clear" w:color="auto" w:fill="FFFFFF"/>
        </w:rPr>
      </w:pPr>
      <w:r w:rsidRPr="004777A1">
        <w:rPr>
          <w:color w:val="000000" w:themeColor="text1"/>
          <w:spacing w:val="-1"/>
          <w:shd w:val="clear" w:color="auto" w:fill="FFFFFF"/>
        </w:rPr>
        <w:t xml:space="preserve">LCA began in the 1960s, but became a more recognized scientific process in the 1990s after the food and beverage industry needed to gain a more detailed understanding of the impacts of product packaging. This process resulted in the development of the International Standard (ISO) 14040, which governs LCA practice.  </w:t>
      </w:r>
    </w:p>
    <w:p w:rsidR="004777A1" w:rsidRPr="004777A1" w:rsidRDefault="004777A1" w:rsidP="004777A1">
      <w:pPr>
        <w:ind w:left="-540"/>
        <w:textAlignment w:val="baseline"/>
        <w:rPr>
          <w:rFonts w:eastAsia="Times New Roman"/>
          <w:color w:val="000000" w:themeColor="text1"/>
        </w:rPr>
      </w:pPr>
    </w:p>
    <w:p w:rsidR="004777A1" w:rsidRPr="004777A1" w:rsidRDefault="004777A1" w:rsidP="004777A1">
      <w:pPr>
        <w:ind w:left="-540"/>
        <w:textAlignment w:val="baseline"/>
        <w:rPr>
          <w:rFonts w:eastAsia="Times New Roman"/>
          <w:color w:val="000000" w:themeColor="text1"/>
        </w:rPr>
      </w:pPr>
      <w:r w:rsidRPr="004777A1">
        <w:rPr>
          <w:rFonts w:eastAsia="Times New Roman"/>
          <w:color w:val="000000" w:themeColor="text1"/>
        </w:rPr>
        <w:t>LCA in the construction sector provides a number of tangible benefits:</w:t>
      </w:r>
    </w:p>
    <w:p w:rsidR="004777A1" w:rsidRPr="004777A1" w:rsidRDefault="004777A1" w:rsidP="004777A1">
      <w:pPr>
        <w:pStyle w:val="ListParagraph"/>
        <w:numPr>
          <w:ilvl w:val="0"/>
          <w:numId w:val="12"/>
        </w:numPr>
        <w:textAlignment w:val="baseline"/>
        <w:rPr>
          <w:rFonts w:ascii="Times New Roman" w:eastAsia="Times New Roman" w:hAnsi="Times New Roman" w:cs="Times New Roman"/>
          <w:color w:val="000000" w:themeColor="text1"/>
          <w:sz w:val="24"/>
          <w:szCs w:val="24"/>
        </w:rPr>
      </w:pPr>
      <w:r w:rsidRPr="004777A1">
        <w:rPr>
          <w:rFonts w:ascii="Times New Roman" w:eastAsia="Times New Roman" w:hAnsi="Times New Roman" w:cs="Times New Roman"/>
          <w:color w:val="000000" w:themeColor="text1"/>
          <w:sz w:val="24"/>
          <w:szCs w:val="24"/>
        </w:rPr>
        <w:t>Evaluating building site options to select the lowest impact choice.</w:t>
      </w:r>
    </w:p>
    <w:p w:rsidR="004777A1" w:rsidRPr="004777A1" w:rsidRDefault="004777A1" w:rsidP="004777A1">
      <w:pPr>
        <w:pStyle w:val="ListParagraph"/>
        <w:numPr>
          <w:ilvl w:val="0"/>
          <w:numId w:val="12"/>
        </w:numPr>
        <w:textAlignment w:val="baseline"/>
        <w:rPr>
          <w:rFonts w:ascii="Times New Roman" w:eastAsia="Times New Roman" w:hAnsi="Times New Roman" w:cs="Times New Roman"/>
          <w:color w:val="000000" w:themeColor="text1"/>
          <w:sz w:val="24"/>
          <w:szCs w:val="24"/>
        </w:rPr>
      </w:pPr>
      <w:r w:rsidRPr="004777A1">
        <w:rPr>
          <w:rFonts w:ascii="Times New Roman" w:eastAsia="Times New Roman" w:hAnsi="Times New Roman" w:cs="Times New Roman"/>
          <w:color w:val="000000" w:themeColor="text1"/>
          <w:sz w:val="24"/>
          <w:szCs w:val="24"/>
        </w:rPr>
        <w:t>Comparing the environmental impacts of renovating rather than demolishing and building anew.</w:t>
      </w:r>
    </w:p>
    <w:p w:rsidR="004777A1" w:rsidRPr="004777A1" w:rsidRDefault="004777A1" w:rsidP="004777A1">
      <w:pPr>
        <w:pStyle w:val="ListParagraph"/>
        <w:numPr>
          <w:ilvl w:val="0"/>
          <w:numId w:val="12"/>
        </w:numPr>
        <w:textAlignment w:val="baseline"/>
        <w:rPr>
          <w:rFonts w:ascii="Times New Roman" w:eastAsia="Times New Roman" w:hAnsi="Times New Roman" w:cs="Times New Roman"/>
          <w:color w:val="000000" w:themeColor="text1"/>
          <w:sz w:val="24"/>
          <w:szCs w:val="24"/>
        </w:rPr>
      </w:pPr>
      <w:r w:rsidRPr="004777A1">
        <w:rPr>
          <w:rFonts w:ascii="Times New Roman" w:eastAsia="Times New Roman" w:hAnsi="Times New Roman" w:cs="Times New Roman"/>
          <w:color w:val="000000" w:themeColor="text1"/>
          <w:sz w:val="24"/>
          <w:szCs w:val="24"/>
        </w:rPr>
        <w:t xml:space="preserve">Comparing design alternatives to choose those with the lowest impact. </w:t>
      </w:r>
    </w:p>
    <w:p w:rsidR="004777A1" w:rsidRPr="004777A1" w:rsidRDefault="004777A1" w:rsidP="004777A1">
      <w:pPr>
        <w:pStyle w:val="ListParagraph"/>
        <w:numPr>
          <w:ilvl w:val="0"/>
          <w:numId w:val="12"/>
        </w:numPr>
        <w:textAlignment w:val="baseline"/>
        <w:rPr>
          <w:rFonts w:ascii="Times New Roman" w:eastAsia="Times New Roman" w:hAnsi="Times New Roman" w:cs="Times New Roman"/>
          <w:color w:val="000000" w:themeColor="text1"/>
          <w:sz w:val="24"/>
          <w:szCs w:val="24"/>
        </w:rPr>
      </w:pPr>
      <w:r w:rsidRPr="004777A1">
        <w:rPr>
          <w:rFonts w:ascii="Times New Roman" w:eastAsia="Times New Roman" w:hAnsi="Times New Roman" w:cs="Times New Roman"/>
          <w:color w:val="000000" w:themeColor="text1"/>
          <w:sz w:val="24"/>
          <w:szCs w:val="24"/>
        </w:rPr>
        <w:t>Identifying a building’s environmental hotspots and taking action to reduce them.</w:t>
      </w:r>
    </w:p>
    <w:p w:rsidR="004777A1" w:rsidRPr="004777A1" w:rsidRDefault="004777A1" w:rsidP="004777A1">
      <w:pPr>
        <w:pStyle w:val="ListParagraph"/>
        <w:numPr>
          <w:ilvl w:val="0"/>
          <w:numId w:val="12"/>
        </w:numPr>
        <w:textAlignment w:val="baseline"/>
        <w:rPr>
          <w:rFonts w:ascii="Times New Roman" w:eastAsia="Times New Roman" w:hAnsi="Times New Roman" w:cs="Times New Roman"/>
          <w:color w:val="000000" w:themeColor="text1"/>
          <w:sz w:val="24"/>
          <w:szCs w:val="24"/>
        </w:rPr>
      </w:pPr>
      <w:r w:rsidRPr="004777A1">
        <w:rPr>
          <w:rFonts w:ascii="Times New Roman" w:eastAsia="Times New Roman" w:hAnsi="Times New Roman" w:cs="Times New Roman"/>
          <w:color w:val="000000" w:themeColor="text1"/>
          <w:sz w:val="24"/>
          <w:szCs w:val="24"/>
        </w:rPr>
        <w:t>Calculating the lifetime impact of building materials and products to help find the most sustainable options.</w:t>
      </w:r>
    </w:p>
    <w:p w:rsidR="004777A1" w:rsidRPr="004777A1" w:rsidRDefault="004777A1" w:rsidP="004777A1">
      <w:pPr>
        <w:ind w:left="-540"/>
        <w:textAlignment w:val="baseline"/>
        <w:rPr>
          <w:rFonts w:eastAsia="Times New Roman"/>
          <w:color w:val="000000" w:themeColor="text1"/>
        </w:rPr>
      </w:pPr>
    </w:p>
    <w:p w:rsidR="004777A1" w:rsidRPr="004777A1" w:rsidRDefault="004777A1" w:rsidP="004777A1">
      <w:pPr>
        <w:ind w:left="-540"/>
        <w:textAlignment w:val="baseline"/>
        <w:rPr>
          <w:rFonts w:eastAsia="Times New Roman"/>
          <w:color w:val="000000" w:themeColor="text1"/>
        </w:rPr>
      </w:pPr>
      <w:r w:rsidRPr="004777A1">
        <w:rPr>
          <w:rFonts w:eastAsia="Times New Roman"/>
          <w:color w:val="000000" w:themeColor="text1"/>
        </w:rPr>
        <w:t>Of course, construction is just one example. There are many sectors and products that can benefit from LCA. If you lack the resources to do a full assessment, remember that that there are several phases in the life cycle when purchasing decisions are made, such as material extraction, manufacturing, packaging and transportation, use and end of life. Consider these phases when making choices that will minimize environmental impacts.</w:t>
      </w:r>
    </w:p>
    <w:p w:rsidR="00354BBF" w:rsidRPr="004777A1" w:rsidRDefault="00354BBF" w:rsidP="004777A1"/>
    <w:sectPr w:rsidR="00354BBF" w:rsidRPr="004777A1" w:rsidSect="001F33D2">
      <w:headerReference w:type="default" r:id="rId23"/>
      <w:footerReference w:type="default" r:id="rId24"/>
      <w:pgSz w:w="12240" w:h="15840"/>
      <w:pgMar w:top="1440" w:right="1440" w:bottom="1440" w:left="1440" w:header="540" w:footer="2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56B" w:rsidRDefault="000F656B" w:rsidP="00823AF2">
      <w:r>
        <w:separator/>
      </w:r>
    </w:p>
  </w:endnote>
  <w:endnote w:type="continuationSeparator" w:id="0">
    <w:p w:rsidR="000F656B" w:rsidRDefault="000F656B" w:rsidP="0082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075"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75"/>
    </w:tblGrid>
    <w:tr w:rsidR="001F33D2" w:rsidRPr="001F33D2" w:rsidTr="00AB7E2E">
      <w:trPr>
        <w:trHeight w:val="452"/>
      </w:trPr>
      <w:tc>
        <w:tcPr>
          <w:tcW w:w="11075" w:type="dxa"/>
          <w:shd w:val="clear" w:color="auto" w:fill="0067A5"/>
          <w:vAlign w:val="center"/>
        </w:tcPr>
        <w:p w:rsidR="001F33D2" w:rsidRPr="001F33D2" w:rsidRDefault="0098099B" w:rsidP="001F33D2">
          <w:pPr>
            <w:pStyle w:val="Footer"/>
            <w:jc w:val="right"/>
            <w:rPr>
              <w:rFonts w:ascii="Arial" w:hAnsi="Arial" w:cs="Arial"/>
              <w:b/>
              <w:color w:val="FFFFFF" w:themeColor="background1"/>
              <w:sz w:val="20"/>
              <w:szCs w:val="20"/>
            </w:rPr>
          </w:pPr>
          <w:r>
            <w:rPr>
              <w:rFonts w:ascii="Arial" w:hAnsi="Arial" w:cs="Arial"/>
              <w:b/>
              <w:color w:val="FFFFFF" w:themeColor="background1"/>
              <w:sz w:val="20"/>
              <w:szCs w:val="20"/>
            </w:rPr>
            <w:t>December</w:t>
          </w:r>
          <w:r w:rsidR="00464BEF">
            <w:rPr>
              <w:rFonts w:ascii="Arial" w:hAnsi="Arial" w:cs="Arial"/>
              <w:b/>
              <w:color w:val="FFFFFF" w:themeColor="background1"/>
              <w:sz w:val="20"/>
              <w:szCs w:val="20"/>
            </w:rPr>
            <w:t xml:space="preserve"> 2021</w:t>
          </w:r>
        </w:p>
      </w:tc>
    </w:tr>
  </w:tbl>
  <w:p w:rsidR="001F33D2" w:rsidRDefault="001F3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56B" w:rsidRDefault="000F656B" w:rsidP="00823AF2">
      <w:r>
        <w:separator/>
      </w:r>
    </w:p>
  </w:footnote>
  <w:footnote w:type="continuationSeparator" w:id="0">
    <w:p w:rsidR="000F656B" w:rsidRDefault="000F656B" w:rsidP="00823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AF2" w:rsidRDefault="00823AF2" w:rsidP="00823AF2">
    <w:pPr>
      <w:pStyle w:val="Header"/>
      <w:tabs>
        <w:tab w:val="clear" w:pos="9360"/>
      </w:tabs>
      <w:ind w:left="-900"/>
      <w:rPr>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1905000</wp:posOffset>
              </wp:positionH>
              <wp:positionV relativeFrom="paragraph">
                <wp:posOffset>57150</wp:posOffset>
              </wp:positionV>
              <wp:extent cx="4533900" cy="5715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533900" cy="571500"/>
                      </a:xfrm>
                      <a:prstGeom prst="rect">
                        <a:avLst/>
                      </a:prstGeom>
                      <a:solidFill>
                        <a:schemeClr val="lt1"/>
                      </a:solidFill>
                      <a:ln w="6350">
                        <a:noFill/>
                      </a:ln>
                    </wps:spPr>
                    <wps:txbx>
                      <w:txbxContent>
                        <w:p w:rsidR="00823AF2" w:rsidRPr="00AB7E2E" w:rsidRDefault="004777A1" w:rsidP="00823AF2">
                          <w:pPr>
                            <w:jc w:val="right"/>
                            <w:rPr>
                              <w:rFonts w:ascii="Arial" w:hAnsi="Arial" w:cs="Arial"/>
                              <w:b/>
                              <w:sz w:val="48"/>
                              <w:szCs w:val="48"/>
                            </w:rPr>
                          </w:pPr>
                          <w:r>
                            <w:rPr>
                              <w:rFonts w:ascii="Arial" w:hAnsi="Arial" w:cs="Arial"/>
                              <w:b/>
                              <w:sz w:val="48"/>
                              <w:szCs w:val="48"/>
                            </w:rPr>
                            <w:t>Best Management Practices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left:0;text-align:left;margin-left:150pt;margin-top:4.5pt;width:357pt;height: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" fillcolor="white [3201]" stroked="f" strokeweight=".5pt">
              <v:textbox>
                <w:txbxContent>
                  <w:p w:rsidR="00823AF2" w:rsidRPr="00AB7E2E" w:rsidRDefault="004777A1" w:rsidP="00823AF2">
                    <w:pPr>
                      <w:jc w:val="right"/>
                      <w:rPr>
                        <w:rFonts w:ascii="Arial" w:hAnsi="Arial" w:cs="Arial"/>
                        <w:b/>
                        <w:sz w:val="48"/>
                        <w:szCs w:val="48"/>
                      </w:rPr>
                    </w:pPr>
                    <w:r>
                      <w:rPr>
                        <w:rFonts w:ascii="Arial" w:hAnsi="Arial" w:cs="Arial"/>
                        <w:b/>
                        <w:sz w:val="48"/>
                        <w:szCs w:val="48"/>
                      </w:rPr>
                      <w:t>Best Management Practices</w:t>
                    </w:r>
                  </w:p>
                </w:txbxContent>
              </v:textbox>
            </v:shape>
          </w:pict>
        </mc:Fallback>
      </mc:AlternateContent>
    </w:r>
    <w:r>
      <w:rPr>
        <w:noProof/>
      </w:rPr>
      <w:drawing>
        <wp:inline distT="0" distB="0" distL="0" distR="0">
          <wp:extent cx="1485900" cy="608063"/>
          <wp:effectExtent l="0" t="0" r="0" b="1905"/>
          <wp:docPr id="143" name="Picture 143" descr="D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qlogo-2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7433" cy="625059"/>
                  </a:xfrm>
                  <a:prstGeom prst="rect">
                    <a:avLst/>
                  </a:prstGeom>
                </pic:spPr>
              </pic:pic>
            </a:graphicData>
          </a:graphic>
        </wp:inline>
      </w:drawing>
    </w:r>
  </w:p>
  <w:p w:rsidR="00823AF2" w:rsidRPr="00823AF2" w:rsidRDefault="00823AF2" w:rsidP="00823AF2">
    <w:pPr>
      <w:pStyle w:val="Header"/>
      <w:tabs>
        <w:tab w:val="clear" w:pos="9360"/>
      </w:tabs>
      <w:ind w:left="-720"/>
      <w:rPr>
        <w:sz w:val="20"/>
        <w:szCs w:val="20"/>
      </w:rPr>
    </w:pPr>
  </w:p>
  <w:tbl>
    <w:tblPr>
      <w:tblStyle w:val="TableGrid"/>
      <w:tblW w:w="1106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65"/>
    </w:tblGrid>
    <w:tr w:rsidR="00823AF2" w:rsidTr="00FE1617">
      <w:trPr>
        <w:trHeight w:val="447"/>
      </w:trPr>
      <w:tc>
        <w:tcPr>
          <w:tcW w:w="11065" w:type="dxa"/>
          <w:shd w:val="clear" w:color="auto" w:fill="008061"/>
          <w:vAlign w:val="center"/>
        </w:tcPr>
        <w:p w:rsidR="00823AF2" w:rsidRPr="00823AF2" w:rsidRDefault="0089032C" w:rsidP="00823AF2">
          <w:pPr>
            <w:pStyle w:val="Header"/>
            <w:tabs>
              <w:tab w:val="clear" w:pos="9360"/>
            </w:tabs>
            <w:jc w:val="right"/>
            <w:rPr>
              <w:rFonts w:ascii="Arial" w:hAnsi="Arial" w:cs="Arial"/>
              <w:b/>
              <w:sz w:val="20"/>
              <w:szCs w:val="20"/>
            </w:rPr>
          </w:pPr>
          <w:r>
            <w:rPr>
              <w:rFonts w:ascii="Arial" w:hAnsi="Arial" w:cs="Arial"/>
              <w:b/>
              <w:color w:val="FFFFFF" w:themeColor="background1"/>
              <w:sz w:val="20"/>
              <w:szCs w:val="20"/>
            </w:rPr>
            <w:t>Plastic Pollution and Solid Waste Reduction</w:t>
          </w:r>
        </w:p>
      </w:tc>
    </w:tr>
  </w:tbl>
  <w:p w:rsidR="00823AF2" w:rsidRPr="00AB7E2E" w:rsidRDefault="00823A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407FD"/>
    <w:multiLevelType w:val="multilevel"/>
    <w:tmpl w:val="6174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4F494F"/>
    <w:multiLevelType w:val="hybridMultilevel"/>
    <w:tmpl w:val="4B22C69E"/>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E335476"/>
    <w:multiLevelType w:val="hybridMultilevel"/>
    <w:tmpl w:val="02A23A1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27A85"/>
    <w:multiLevelType w:val="hybridMultilevel"/>
    <w:tmpl w:val="20861BA6"/>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20C431A6"/>
    <w:multiLevelType w:val="hybridMultilevel"/>
    <w:tmpl w:val="B9F0B4B6"/>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26C4100"/>
    <w:multiLevelType w:val="hybridMultilevel"/>
    <w:tmpl w:val="DCD2DD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46588E"/>
    <w:multiLevelType w:val="hybridMultilevel"/>
    <w:tmpl w:val="22DC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50288"/>
    <w:multiLevelType w:val="hybridMultilevel"/>
    <w:tmpl w:val="8EBA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22B1C"/>
    <w:multiLevelType w:val="hybridMultilevel"/>
    <w:tmpl w:val="0890E204"/>
    <w:lvl w:ilvl="0" w:tplc="0409000F">
      <w:start w:val="1"/>
      <w:numFmt w:val="decimal"/>
      <w:lvlText w:val="%1."/>
      <w:lvlJc w:val="left"/>
      <w:pPr>
        <w:ind w:left="180" w:hanging="360"/>
      </w:p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15:restartNumberingAfterBreak="0">
    <w:nsid w:val="46FB450A"/>
    <w:multiLevelType w:val="hybridMultilevel"/>
    <w:tmpl w:val="C784A09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0" w15:restartNumberingAfterBreak="0">
    <w:nsid w:val="502866CC"/>
    <w:multiLevelType w:val="hybridMultilevel"/>
    <w:tmpl w:val="D49E71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B5A3887"/>
    <w:multiLevelType w:val="hybridMultilevel"/>
    <w:tmpl w:val="CB70FC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94D4BAD"/>
    <w:multiLevelType w:val="hybridMultilevel"/>
    <w:tmpl w:val="F52C28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0"/>
  </w:num>
  <w:num w:numId="5">
    <w:abstractNumId w:val="2"/>
  </w:num>
  <w:num w:numId="6">
    <w:abstractNumId w:val="11"/>
  </w:num>
  <w:num w:numId="7">
    <w:abstractNumId w:val="5"/>
  </w:num>
  <w:num w:numId="8">
    <w:abstractNumId w:val="10"/>
  </w:num>
  <w:num w:numId="9">
    <w:abstractNumId w:val="12"/>
  </w:num>
  <w:num w:numId="10">
    <w:abstractNumId w:val="8"/>
  </w:num>
  <w:num w:numId="11">
    <w:abstractNumId w:val="7"/>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AF2"/>
    <w:rsid w:val="000318B2"/>
    <w:rsid w:val="000F656B"/>
    <w:rsid w:val="00193075"/>
    <w:rsid w:val="001A5DF7"/>
    <w:rsid w:val="001F33D2"/>
    <w:rsid w:val="002229AF"/>
    <w:rsid w:val="002364A6"/>
    <w:rsid w:val="00276CB9"/>
    <w:rsid w:val="00354BBF"/>
    <w:rsid w:val="00412B6A"/>
    <w:rsid w:val="00464BEF"/>
    <w:rsid w:val="004777A1"/>
    <w:rsid w:val="00597603"/>
    <w:rsid w:val="00734EF0"/>
    <w:rsid w:val="0074572F"/>
    <w:rsid w:val="007B43F2"/>
    <w:rsid w:val="00801AD1"/>
    <w:rsid w:val="00823AF2"/>
    <w:rsid w:val="008855EE"/>
    <w:rsid w:val="0089032C"/>
    <w:rsid w:val="008E7BB5"/>
    <w:rsid w:val="00965E51"/>
    <w:rsid w:val="0098099B"/>
    <w:rsid w:val="00A15BFF"/>
    <w:rsid w:val="00A52F6C"/>
    <w:rsid w:val="00AB7E2E"/>
    <w:rsid w:val="00AD34D8"/>
    <w:rsid w:val="00B13A46"/>
    <w:rsid w:val="00B6054A"/>
    <w:rsid w:val="00C35531"/>
    <w:rsid w:val="00C744AC"/>
    <w:rsid w:val="00C83C4A"/>
    <w:rsid w:val="00E64ABE"/>
    <w:rsid w:val="00EE1862"/>
    <w:rsid w:val="00EF732D"/>
    <w:rsid w:val="00FE1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D501D3"/>
  <w15:chartTrackingRefBased/>
  <w15:docId w15:val="{6A1AE905-978D-4063-8F10-5F79E36C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3D2"/>
    <w:pPr>
      <w:spacing w:after="0" w:line="240" w:lineRule="auto"/>
    </w:pPr>
    <w:rPr>
      <w:rFonts w:ascii="Times New Roman" w:eastAsia="Calibri" w:hAnsi="Times New Roman" w:cs="Times New Roman"/>
      <w:sz w:val="24"/>
      <w:szCs w:val="24"/>
    </w:rPr>
  </w:style>
  <w:style w:type="paragraph" w:styleId="Heading2">
    <w:name w:val="heading 2"/>
    <w:basedOn w:val="Normal"/>
    <w:next w:val="Normal"/>
    <w:link w:val="Heading2Char"/>
    <w:uiPriority w:val="9"/>
    <w:unhideWhenUsed/>
    <w:qFormat/>
    <w:rsid w:val="004777A1"/>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AF2"/>
    <w:pPr>
      <w:tabs>
        <w:tab w:val="center" w:pos="4680"/>
        <w:tab w:val="right" w:pos="9360"/>
      </w:tabs>
    </w:pPr>
  </w:style>
  <w:style w:type="character" w:customStyle="1" w:styleId="HeaderChar">
    <w:name w:val="Header Char"/>
    <w:basedOn w:val="DefaultParagraphFont"/>
    <w:link w:val="Header"/>
    <w:uiPriority w:val="99"/>
    <w:rsid w:val="00823AF2"/>
  </w:style>
  <w:style w:type="paragraph" w:styleId="Footer">
    <w:name w:val="footer"/>
    <w:basedOn w:val="Normal"/>
    <w:link w:val="FooterChar"/>
    <w:uiPriority w:val="99"/>
    <w:unhideWhenUsed/>
    <w:rsid w:val="00823AF2"/>
    <w:pPr>
      <w:tabs>
        <w:tab w:val="center" w:pos="4680"/>
        <w:tab w:val="right" w:pos="9360"/>
      </w:tabs>
    </w:pPr>
  </w:style>
  <w:style w:type="character" w:customStyle="1" w:styleId="FooterChar">
    <w:name w:val="Footer Char"/>
    <w:basedOn w:val="DefaultParagraphFont"/>
    <w:link w:val="Footer"/>
    <w:uiPriority w:val="99"/>
    <w:rsid w:val="00823AF2"/>
  </w:style>
  <w:style w:type="table" w:styleId="TableGrid">
    <w:name w:val="Table Grid"/>
    <w:basedOn w:val="TableNormal"/>
    <w:uiPriority w:val="39"/>
    <w:rsid w:val="00823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F33D2"/>
    <w:rPr>
      <w:color w:val="0563C1"/>
      <w:u w:val="single"/>
    </w:rPr>
  </w:style>
  <w:style w:type="table" w:customStyle="1" w:styleId="PlainTable52">
    <w:name w:val="Plain Table 52"/>
    <w:basedOn w:val="TableNormal"/>
    <w:uiPriority w:val="45"/>
    <w:rsid w:val="001F33D2"/>
    <w:pPr>
      <w:spacing w:after="0" w:line="240" w:lineRule="auto"/>
    </w:pPr>
    <w:rPr>
      <w:rFonts w:eastAsia="Times New Roman"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character" w:styleId="CommentReference">
    <w:name w:val="annotation reference"/>
    <w:basedOn w:val="DefaultParagraphFont"/>
    <w:uiPriority w:val="99"/>
    <w:semiHidden/>
    <w:unhideWhenUsed/>
    <w:rsid w:val="00464BEF"/>
    <w:rPr>
      <w:sz w:val="16"/>
      <w:szCs w:val="16"/>
    </w:rPr>
  </w:style>
  <w:style w:type="paragraph" w:styleId="CommentText">
    <w:name w:val="annotation text"/>
    <w:basedOn w:val="Normal"/>
    <w:link w:val="CommentTextChar"/>
    <w:uiPriority w:val="99"/>
    <w:semiHidden/>
    <w:unhideWhenUsed/>
    <w:rsid w:val="00464BEF"/>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64BEF"/>
    <w:rPr>
      <w:sz w:val="20"/>
      <w:szCs w:val="20"/>
    </w:rPr>
  </w:style>
  <w:style w:type="paragraph" w:styleId="BalloonText">
    <w:name w:val="Balloon Text"/>
    <w:basedOn w:val="Normal"/>
    <w:link w:val="BalloonTextChar"/>
    <w:uiPriority w:val="99"/>
    <w:semiHidden/>
    <w:unhideWhenUsed/>
    <w:rsid w:val="00464B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BEF"/>
    <w:rPr>
      <w:rFonts w:ascii="Segoe UI" w:eastAsia="Calibri" w:hAnsi="Segoe UI" w:cs="Segoe UI"/>
      <w:sz w:val="18"/>
      <w:szCs w:val="18"/>
    </w:rPr>
  </w:style>
  <w:style w:type="character" w:customStyle="1" w:styleId="Heading2Char">
    <w:name w:val="Heading 2 Char"/>
    <w:basedOn w:val="DefaultParagraphFont"/>
    <w:link w:val="Heading2"/>
    <w:uiPriority w:val="9"/>
    <w:rsid w:val="004777A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4777A1"/>
    <w:pPr>
      <w:spacing w:after="160" w:line="259" w:lineRule="auto"/>
      <w:ind w:left="720"/>
      <w:contextualSpacing/>
    </w:pPr>
    <w:rPr>
      <w:rFonts w:asciiTheme="minorHAnsi" w:eastAsiaTheme="minorHAnsi" w:hAnsiTheme="minorHAnsi" w:cstheme="minorBidi"/>
      <w:sz w:val="22"/>
      <w:szCs w:val="22"/>
    </w:rPr>
  </w:style>
  <w:style w:type="paragraph" w:styleId="Caption">
    <w:name w:val="caption"/>
    <w:basedOn w:val="Normal"/>
    <w:next w:val="Normal"/>
    <w:uiPriority w:val="35"/>
    <w:unhideWhenUsed/>
    <w:qFormat/>
    <w:rsid w:val="004777A1"/>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eanriver.com/content/uploads/2015/02/Diversion-Formula.png" TargetMode="External"/><Relationship Id="rId13" Type="http://schemas.openxmlformats.org/officeDocument/2006/relationships/hyperlink" Target="https://www.epa.gov/sustainable-management-food/reduce-wasted-food-feeding-hungry-people" TargetMode="External"/><Relationship Id="rId18" Type="http://schemas.openxmlformats.org/officeDocument/2006/relationships/hyperlink" Target="https://www.findacomposter.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deq.virginia.gov/get-involved/pollution-prevention/environmental-preferable-purchasing" TargetMode="External"/><Relationship Id="rId7" Type="http://schemas.openxmlformats.org/officeDocument/2006/relationships/hyperlink" Target="mailto:veep@deq.virginia.gov" TargetMode="External"/><Relationship Id="rId12" Type="http://schemas.openxmlformats.org/officeDocument/2006/relationships/hyperlink" Target="https://www.epa.gov/sustainable-management-food/how-prevent-wasted-food-through-source-reduction" TargetMode="External"/><Relationship Id="rId17" Type="http://schemas.openxmlformats.org/officeDocument/2006/relationships/hyperlink" Target="https://www.deq.virginia.gov/home/showdocument?id=526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pa.gov/sustainable-management-food/reducing-impact-wasted-food-feeding-soil-and-composting" TargetMode="External"/><Relationship Id="rId20" Type="http://schemas.openxmlformats.org/officeDocument/2006/relationships/hyperlink" Target="https://www.deq.virginia.gov/get-involved/pollution-prevention/environmental-preferable-purchas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epa.gov/sustainable-management-food/industrial-uses-wasted-food" TargetMode="External"/><Relationship Id="rId23" Type="http://schemas.openxmlformats.org/officeDocument/2006/relationships/header" Target="header1.xml"/><Relationship Id="rId10" Type="http://schemas.openxmlformats.org/officeDocument/2006/relationships/hyperlink" Target="https://www.epa.gov/sites/production/files/2019-11/food_recovery_hierarchy_-_eng_high_res_v2.jpg" TargetMode="External"/><Relationship Id="rId19" Type="http://schemas.openxmlformats.org/officeDocument/2006/relationships/hyperlink" Target="https://resources.ext.vt.edu/contentdetail?contentid=1459&amp;contentname=Mid-Atlantic%20Composting%20Directory"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epa.gov/sustainable-management-food/reduce-wasted-food-feeding-animals" TargetMode="External"/><Relationship Id="rId2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Fact sheet</vt:lpstr>
    </vt:vector>
  </TitlesOfParts>
  <Company>Virginia IT Infrastructure Partnership</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VITA Program</dc:creator>
  <cp:keywords/>
  <dc:description/>
  <cp:lastModifiedBy>Goodman, Morgan (DEQ)</cp:lastModifiedBy>
  <cp:revision>3</cp:revision>
  <cp:lastPrinted>2021-06-21T10:55:00Z</cp:lastPrinted>
  <dcterms:created xsi:type="dcterms:W3CDTF">2021-12-03T21:00:00Z</dcterms:created>
  <dcterms:modified xsi:type="dcterms:W3CDTF">2021-12-06T20:05:00Z</dcterms:modified>
</cp:coreProperties>
</file>