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61C7D" w14:textId="77777777" w:rsidR="00903775" w:rsidRPr="00043019" w:rsidRDefault="00903775" w:rsidP="00903775">
      <w:pPr>
        <w:pStyle w:val="Heading1"/>
        <w:rPr>
          <w:rFonts w:ascii="Times New Roman" w:hAnsi="Times New Roman"/>
          <w:sz w:val="24"/>
          <w:szCs w:val="24"/>
        </w:rPr>
      </w:pPr>
      <w:r w:rsidRPr="00043019">
        <w:rPr>
          <w:rFonts w:ascii="Times New Roman" w:hAnsi="Times New Roman"/>
          <w:sz w:val="24"/>
          <w:szCs w:val="24"/>
        </w:rPr>
        <w:t>CHAPTER 2</w:t>
      </w:r>
      <w:r w:rsidR="00043019">
        <w:rPr>
          <w:rFonts w:ascii="Times New Roman" w:hAnsi="Times New Roman"/>
          <w:sz w:val="24"/>
          <w:szCs w:val="24"/>
        </w:rPr>
        <w:t xml:space="preserve">. </w:t>
      </w:r>
      <w:r w:rsidRPr="00043019">
        <w:rPr>
          <w:rFonts w:ascii="Times New Roman" w:hAnsi="Times New Roman"/>
          <w:sz w:val="24"/>
          <w:szCs w:val="24"/>
        </w:rPr>
        <w:t>STATE BACKGROUND INFORMATION</w:t>
      </w:r>
    </w:p>
    <w:p w14:paraId="3DEFC299" w14:textId="77777777" w:rsidR="00903775" w:rsidRPr="00043019" w:rsidRDefault="00903775" w:rsidP="00903775">
      <w:pPr>
        <w:rPr>
          <w:rFonts w:ascii="Times New Roman" w:hAnsi="Times New Roman"/>
          <w:szCs w:val="24"/>
        </w:rPr>
      </w:pPr>
    </w:p>
    <w:p w14:paraId="32094398" w14:textId="77777777" w:rsidR="00903775" w:rsidRPr="00043019" w:rsidRDefault="00903775" w:rsidP="00903775">
      <w:pPr>
        <w:rPr>
          <w:rFonts w:ascii="Times New Roman" w:hAnsi="Times New Roman"/>
          <w:b/>
          <w:szCs w:val="24"/>
        </w:rPr>
      </w:pPr>
      <w:r w:rsidRPr="00043019">
        <w:rPr>
          <w:rFonts w:ascii="Times New Roman" w:hAnsi="Times New Roman"/>
          <w:b/>
          <w:szCs w:val="24"/>
        </w:rPr>
        <w:t>Population</w:t>
      </w:r>
    </w:p>
    <w:p w14:paraId="2872FA28" w14:textId="77777777" w:rsidR="00903775" w:rsidRPr="00043019" w:rsidRDefault="00903775" w:rsidP="00903775">
      <w:pPr>
        <w:rPr>
          <w:rFonts w:ascii="Times New Roman" w:hAnsi="Times New Roman"/>
          <w:szCs w:val="24"/>
        </w:rPr>
      </w:pPr>
    </w:p>
    <w:p w14:paraId="5DF3A580" w14:textId="64C93BF2" w:rsidR="00903775" w:rsidRPr="00043019" w:rsidRDefault="00903775" w:rsidP="00E0199B">
      <w:pPr>
        <w:ind w:firstLine="720"/>
        <w:rPr>
          <w:rFonts w:ascii="Times New Roman" w:hAnsi="Times New Roman"/>
          <w:szCs w:val="24"/>
        </w:rPr>
      </w:pPr>
      <w:r w:rsidRPr="00043019">
        <w:rPr>
          <w:rFonts w:ascii="Times New Roman" w:hAnsi="Times New Roman"/>
          <w:szCs w:val="24"/>
        </w:rPr>
        <w:t xml:space="preserve">The Commonwealth of Virginia covers </w:t>
      </w:r>
      <w:r w:rsidR="00EE610C">
        <w:rPr>
          <w:rFonts w:ascii="Times New Roman" w:hAnsi="Times New Roman"/>
          <w:szCs w:val="24"/>
        </w:rPr>
        <w:t>39,471 square miles and ranks 37</w:t>
      </w:r>
      <w:r w:rsidRPr="00043019">
        <w:rPr>
          <w:rFonts w:ascii="Times New Roman" w:hAnsi="Times New Roman"/>
          <w:szCs w:val="24"/>
        </w:rPr>
        <w:t xml:space="preserve">th among the states in size. This area is divided into </w:t>
      </w:r>
      <w:r w:rsidR="00755FED" w:rsidRPr="00043019">
        <w:rPr>
          <w:rFonts w:ascii="Times New Roman" w:hAnsi="Times New Roman"/>
          <w:szCs w:val="24"/>
        </w:rPr>
        <w:t xml:space="preserve">six </w:t>
      </w:r>
      <w:r w:rsidRPr="00043019">
        <w:rPr>
          <w:rFonts w:ascii="Times New Roman" w:hAnsi="Times New Roman"/>
          <w:szCs w:val="24"/>
        </w:rPr>
        <w:t xml:space="preserve">Department of Environmental Quality (DEQ) regional offices, with </w:t>
      </w:r>
      <w:r w:rsidR="00181897" w:rsidRPr="00043019">
        <w:rPr>
          <w:rFonts w:ascii="Times New Roman" w:hAnsi="Times New Roman"/>
          <w:szCs w:val="24"/>
        </w:rPr>
        <w:t>one satellite office</w:t>
      </w:r>
      <w:r w:rsidRPr="00043019">
        <w:rPr>
          <w:rFonts w:ascii="Times New Roman" w:hAnsi="Times New Roman"/>
          <w:szCs w:val="24"/>
        </w:rPr>
        <w:t>.  According to the most recent census</w:t>
      </w:r>
      <w:r w:rsidR="00EE610C">
        <w:rPr>
          <w:rFonts w:ascii="Times New Roman" w:hAnsi="Times New Roman"/>
          <w:szCs w:val="24"/>
        </w:rPr>
        <w:t xml:space="preserve"> (202</w:t>
      </w:r>
      <w:r w:rsidR="00E0199B" w:rsidRPr="00043019">
        <w:rPr>
          <w:rFonts w:ascii="Times New Roman" w:hAnsi="Times New Roman"/>
          <w:szCs w:val="24"/>
        </w:rPr>
        <w:t>0), the population of the c</w:t>
      </w:r>
      <w:r w:rsidRPr="00043019">
        <w:rPr>
          <w:rFonts w:ascii="Times New Roman" w:hAnsi="Times New Roman"/>
          <w:szCs w:val="24"/>
        </w:rPr>
        <w:t xml:space="preserve">ommonwealth was estimated to be </w:t>
      </w:r>
      <w:r w:rsidR="00EE610C">
        <w:rPr>
          <w:rFonts w:ascii="Times New Roman" w:hAnsi="Times New Roman"/>
          <w:color w:val="000000"/>
          <w:szCs w:val="24"/>
        </w:rPr>
        <w:t>8,631,393</w:t>
      </w:r>
      <w:r w:rsidR="008D1F0E">
        <w:rPr>
          <w:rFonts w:ascii="Times New Roman" w:hAnsi="Times New Roman"/>
          <w:color w:val="000000"/>
          <w:szCs w:val="24"/>
        </w:rPr>
        <w:t>,</w:t>
      </w:r>
      <w:r w:rsidRPr="00043019">
        <w:rPr>
          <w:rFonts w:ascii="Times New Roman" w:hAnsi="Times New Roman"/>
          <w:color w:val="000000"/>
          <w:szCs w:val="24"/>
        </w:rPr>
        <w:t xml:space="preserve"> </w:t>
      </w:r>
      <w:r w:rsidR="00EE610C">
        <w:rPr>
          <w:rFonts w:ascii="Times New Roman" w:hAnsi="Times New Roman"/>
          <w:szCs w:val="24"/>
        </w:rPr>
        <w:t>or 2.6</w:t>
      </w:r>
      <w:r w:rsidR="00E0199B" w:rsidRPr="00043019">
        <w:rPr>
          <w:rFonts w:ascii="Times New Roman" w:hAnsi="Times New Roman"/>
          <w:szCs w:val="24"/>
        </w:rPr>
        <w:t xml:space="preserve"> percent</w:t>
      </w:r>
      <w:r w:rsidRPr="00043019">
        <w:rPr>
          <w:rFonts w:ascii="Times New Roman" w:hAnsi="Times New Roman"/>
          <w:szCs w:val="24"/>
        </w:rPr>
        <w:t xml:space="preserve"> of the total United States population.  It </w:t>
      </w:r>
      <w:r w:rsidR="00EE610C">
        <w:rPr>
          <w:rFonts w:ascii="Times New Roman" w:hAnsi="Times New Roman"/>
          <w:szCs w:val="24"/>
        </w:rPr>
        <w:t>has grown approximately 7</w:t>
      </w:r>
      <w:r w:rsidR="00E0199B" w:rsidRPr="00043019">
        <w:rPr>
          <w:rFonts w:ascii="Times New Roman" w:hAnsi="Times New Roman"/>
          <w:szCs w:val="24"/>
        </w:rPr>
        <w:t xml:space="preserve"> percent</w:t>
      </w:r>
      <w:r w:rsidR="00EE610C">
        <w:rPr>
          <w:rFonts w:ascii="Times New Roman" w:hAnsi="Times New Roman"/>
          <w:szCs w:val="24"/>
        </w:rPr>
        <w:t xml:space="preserve"> between 2010 and 202</w:t>
      </w:r>
      <w:r w:rsidRPr="00043019">
        <w:rPr>
          <w:rFonts w:ascii="Times New Roman" w:hAnsi="Times New Roman"/>
          <w:szCs w:val="24"/>
        </w:rPr>
        <w:t>0, ranking 12th nationally, and cont</w:t>
      </w:r>
      <w:r w:rsidR="003D0339">
        <w:rPr>
          <w:rFonts w:ascii="Times New Roman" w:hAnsi="Times New Roman"/>
          <w:szCs w:val="24"/>
        </w:rPr>
        <w:t>inues to grow.  Approximately 88</w:t>
      </w:r>
      <w:r w:rsidR="00E0199B" w:rsidRPr="00043019">
        <w:rPr>
          <w:rFonts w:ascii="Times New Roman" w:hAnsi="Times New Roman"/>
          <w:szCs w:val="24"/>
        </w:rPr>
        <w:t xml:space="preserve"> percent</w:t>
      </w:r>
      <w:r w:rsidRPr="00043019">
        <w:rPr>
          <w:rFonts w:ascii="Times New Roman" w:hAnsi="Times New Roman"/>
          <w:szCs w:val="24"/>
        </w:rPr>
        <w:t xml:space="preserve"> of all Virginians live in </w:t>
      </w:r>
      <w:r w:rsidR="003D0339">
        <w:rPr>
          <w:rFonts w:ascii="Times New Roman" w:hAnsi="Times New Roman"/>
          <w:szCs w:val="24"/>
        </w:rPr>
        <w:t>three</w:t>
      </w:r>
      <w:r w:rsidRPr="00043019">
        <w:rPr>
          <w:rFonts w:ascii="Times New Roman" w:hAnsi="Times New Roman"/>
          <w:szCs w:val="24"/>
        </w:rPr>
        <w:t xml:space="preserve"> metropolitan areas: Northern Virginia, Norfolk</w:t>
      </w:r>
      <w:r w:rsidRPr="00043019">
        <w:rPr>
          <w:rFonts w:ascii="Times New Roman" w:hAnsi="Times New Roman"/>
          <w:szCs w:val="24"/>
        </w:rPr>
        <w:noBreakHyphen/>
        <w:t>Virginia Beach</w:t>
      </w:r>
      <w:r w:rsidRPr="00043019">
        <w:rPr>
          <w:rFonts w:ascii="Times New Roman" w:hAnsi="Times New Roman"/>
          <w:szCs w:val="24"/>
        </w:rPr>
        <w:noBreakHyphen/>
        <w:t>Newport News, Richmond</w:t>
      </w:r>
      <w:r w:rsidRPr="00043019">
        <w:rPr>
          <w:rFonts w:ascii="Times New Roman" w:hAnsi="Times New Roman"/>
          <w:szCs w:val="24"/>
        </w:rPr>
        <w:noBreakHyphen/>
        <w:t>Petersburg. Appr</w:t>
      </w:r>
      <w:r w:rsidR="003D0339">
        <w:rPr>
          <w:rFonts w:ascii="Times New Roman" w:hAnsi="Times New Roman"/>
          <w:szCs w:val="24"/>
        </w:rPr>
        <w:t>oximately 12</w:t>
      </w:r>
      <w:r w:rsidR="00E0199B" w:rsidRPr="00043019">
        <w:rPr>
          <w:rFonts w:ascii="Times New Roman" w:hAnsi="Times New Roman"/>
          <w:szCs w:val="24"/>
        </w:rPr>
        <w:t xml:space="preserve"> percent</w:t>
      </w:r>
      <w:r w:rsidRPr="00043019">
        <w:rPr>
          <w:rFonts w:ascii="Times New Roman" w:hAnsi="Times New Roman"/>
          <w:szCs w:val="24"/>
        </w:rPr>
        <w:t xml:space="preserve"> of the population lives in </w:t>
      </w:r>
      <w:r w:rsidR="00BC5EE2" w:rsidRPr="00043019">
        <w:rPr>
          <w:rFonts w:ascii="Times New Roman" w:hAnsi="Times New Roman"/>
          <w:szCs w:val="24"/>
        </w:rPr>
        <w:t>rural areas.</w:t>
      </w:r>
    </w:p>
    <w:p w14:paraId="6720F896" w14:textId="77777777" w:rsidR="00903775" w:rsidRPr="00043019" w:rsidRDefault="00903775" w:rsidP="00903775">
      <w:pPr>
        <w:jc w:val="both"/>
        <w:rPr>
          <w:rFonts w:ascii="Times New Roman" w:hAnsi="Times New Roman"/>
          <w:szCs w:val="24"/>
        </w:rPr>
      </w:pPr>
    </w:p>
    <w:p w14:paraId="76ED9191" w14:textId="77777777" w:rsidR="00903775" w:rsidRPr="00043019" w:rsidRDefault="00903775" w:rsidP="00903775">
      <w:pPr>
        <w:jc w:val="both"/>
        <w:rPr>
          <w:rFonts w:ascii="Times New Roman" w:hAnsi="Times New Roman"/>
          <w:b/>
          <w:szCs w:val="24"/>
        </w:rPr>
      </w:pPr>
      <w:r w:rsidRPr="00043019">
        <w:rPr>
          <w:rFonts w:ascii="Times New Roman" w:hAnsi="Times New Roman"/>
          <w:b/>
          <w:szCs w:val="24"/>
        </w:rPr>
        <w:t>Geography</w:t>
      </w:r>
    </w:p>
    <w:p w14:paraId="12F66A47" w14:textId="77777777" w:rsidR="00903775" w:rsidRPr="00043019" w:rsidRDefault="00903775" w:rsidP="00903775">
      <w:pPr>
        <w:jc w:val="both"/>
        <w:rPr>
          <w:rFonts w:ascii="Times New Roman" w:hAnsi="Times New Roman"/>
          <w:szCs w:val="24"/>
        </w:rPr>
      </w:pPr>
    </w:p>
    <w:p w14:paraId="1257F05A" w14:textId="0D2F91F3" w:rsidR="00903775" w:rsidRPr="00043019" w:rsidRDefault="00903775" w:rsidP="00E0199B">
      <w:pPr>
        <w:ind w:firstLine="720"/>
        <w:rPr>
          <w:rFonts w:ascii="Times New Roman" w:hAnsi="Times New Roman"/>
          <w:szCs w:val="24"/>
        </w:rPr>
      </w:pPr>
      <w:r w:rsidRPr="00043019">
        <w:rPr>
          <w:rFonts w:ascii="Times New Roman" w:hAnsi="Times New Roman"/>
          <w:szCs w:val="24"/>
        </w:rPr>
        <w:t>Virginia is over 400 miles in length along its southern boundary, reaching from the Atlantic Ocean in the east, crossing the eastern continental divide into the Mississippi Basin to the west.  Along the way, Virginia crosses five physiographic provinces. The southwestern edge of the state touches upon the margin of the Cumberland Plateau, which is characterized by rugged terrain with formations of sandstone and shale.  Virginia's coal mining industry is concentrated in this area.  The Valley and Ridge province encompasses the long, parallel ridges of the Appalachian Mountain chain in western Virginia.  Erosion-resistant quartzites and sandstones form the ridgetops, while streams have carved valleys into the softer limestones and shales.  The narrow Blue Ridge Mountain province is made up of hard greenstone, quartzites, and granites, igneous and metamorphic rocks that originated as ancient lava flows.  These mountains are among the oldest on earth.  East of the Blue Ridge Mountains lies the rolling Piedmont of central Virginia. A complex layer of igneous and metamorphic rocks underlies this area. The Triassic Basins, ancient down</w:t>
      </w:r>
      <w:r w:rsidRPr="00043019">
        <w:rPr>
          <w:rFonts w:ascii="Times New Roman" w:hAnsi="Times New Roman"/>
          <w:szCs w:val="24"/>
        </w:rPr>
        <w:noBreakHyphen/>
        <w:t>faulted basins filled with sedimentary rocks and igneous intrusions are major sub</w:t>
      </w:r>
      <w:r w:rsidRPr="00043019">
        <w:rPr>
          <w:rFonts w:ascii="Times New Roman" w:hAnsi="Times New Roman"/>
          <w:szCs w:val="24"/>
        </w:rPr>
        <w:noBreakHyphen/>
        <w:t>units of this province.  A distinctive fall line, marked by waterfalls and rapids across the major rivers, divides the Piedmont from the Coastal Plain.  Virginia's flat Tidewater area consists of deep, unconsolidated deposits of sand, gravel, fossil shells, and clay.  The basement formation of granite, exposed at the fall line, is buried under 2,900 feet of sediment at the Atlantic Coast.</w:t>
      </w:r>
    </w:p>
    <w:p w14:paraId="52AC55E8" w14:textId="77777777" w:rsidR="00903775" w:rsidRPr="00043019" w:rsidRDefault="00903775" w:rsidP="00903775">
      <w:pPr>
        <w:jc w:val="both"/>
        <w:rPr>
          <w:rFonts w:ascii="Times New Roman" w:hAnsi="Times New Roman"/>
          <w:szCs w:val="24"/>
          <w:u w:val="single"/>
        </w:rPr>
      </w:pPr>
    </w:p>
    <w:p w14:paraId="38687B60" w14:textId="77777777" w:rsidR="00903775" w:rsidRPr="00043019" w:rsidRDefault="00903775" w:rsidP="00903775">
      <w:pPr>
        <w:jc w:val="both"/>
        <w:rPr>
          <w:rFonts w:ascii="Times New Roman" w:hAnsi="Times New Roman"/>
          <w:b/>
          <w:szCs w:val="24"/>
        </w:rPr>
      </w:pPr>
      <w:r w:rsidRPr="00043019">
        <w:rPr>
          <w:rFonts w:ascii="Times New Roman" w:hAnsi="Times New Roman"/>
          <w:b/>
          <w:szCs w:val="24"/>
        </w:rPr>
        <w:t xml:space="preserve">Water Resources </w:t>
      </w:r>
    </w:p>
    <w:p w14:paraId="1B51E067" w14:textId="77777777" w:rsidR="00903775" w:rsidRPr="00043019" w:rsidRDefault="00903775" w:rsidP="00903775">
      <w:pPr>
        <w:jc w:val="both"/>
        <w:rPr>
          <w:rFonts w:ascii="Times New Roman" w:hAnsi="Times New Roman"/>
          <w:szCs w:val="24"/>
        </w:rPr>
      </w:pPr>
    </w:p>
    <w:p w14:paraId="2F1A90AF" w14:textId="297810EA" w:rsidR="00903775" w:rsidRDefault="00903775" w:rsidP="003719F0">
      <w:pPr>
        <w:ind w:firstLine="720"/>
        <w:rPr>
          <w:rFonts w:ascii="Times New Roman" w:hAnsi="Times New Roman"/>
          <w:szCs w:val="24"/>
        </w:rPr>
      </w:pPr>
      <w:r w:rsidRPr="00043019">
        <w:rPr>
          <w:rFonts w:ascii="Times New Roman" w:hAnsi="Times New Roman"/>
          <w:szCs w:val="24"/>
        </w:rPr>
        <w:t xml:space="preserve">A summary of Virginia's water resources is provided in Table 2-1.  Virginia has an estimated </w:t>
      </w:r>
      <w:r w:rsidR="00172F4A" w:rsidRPr="00043019">
        <w:rPr>
          <w:rFonts w:ascii="Times New Roman" w:hAnsi="Times New Roman"/>
          <w:snapToGrid/>
          <w:szCs w:val="24"/>
        </w:rPr>
        <w:t xml:space="preserve">100,923 </w:t>
      </w:r>
      <w:r w:rsidRPr="00043019">
        <w:rPr>
          <w:rFonts w:ascii="Times New Roman" w:hAnsi="Times New Roman"/>
          <w:szCs w:val="24"/>
        </w:rPr>
        <w:t>miles of streams and rivers divided into nine major river basins.  This estimate represents mileage determined by the United States Geological Survey National Hydrography Dataset (NHD).  Annual rainfall averages almost 43 inches. Total combined</w:t>
      </w:r>
      <w:r w:rsidR="00136AEC">
        <w:rPr>
          <w:rFonts w:ascii="Times New Roman" w:hAnsi="Times New Roman"/>
          <w:szCs w:val="24"/>
        </w:rPr>
        <w:t xml:space="preserve"> mean</w:t>
      </w:r>
      <w:r w:rsidRPr="00043019">
        <w:rPr>
          <w:rFonts w:ascii="Times New Roman" w:hAnsi="Times New Roman"/>
          <w:szCs w:val="24"/>
        </w:rPr>
        <w:t xml:space="preserve"> flow </w:t>
      </w:r>
      <w:r w:rsidR="00BE6395">
        <w:rPr>
          <w:rFonts w:ascii="Times New Roman" w:hAnsi="Times New Roman"/>
          <w:szCs w:val="24"/>
        </w:rPr>
        <w:t xml:space="preserve">rate </w:t>
      </w:r>
      <w:r w:rsidRPr="00043019">
        <w:rPr>
          <w:rFonts w:ascii="Times New Roman" w:hAnsi="Times New Roman"/>
          <w:szCs w:val="24"/>
        </w:rPr>
        <w:t>of all freshwater streams in the state is estimated at about 25 billion gallons</w:t>
      </w:r>
      <w:r w:rsidR="00BE6395">
        <w:rPr>
          <w:rFonts w:ascii="Times New Roman" w:hAnsi="Times New Roman"/>
          <w:szCs w:val="24"/>
        </w:rPr>
        <w:t xml:space="preserve"> per day</w:t>
      </w:r>
      <w:r w:rsidRPr="00043019">
        <w:rPr>
          <w:rFonts w:ascii="Times New Roman" w:hAnsi="Times New Roman"/>
          <w:szCs w:val="24"/>
        </w:rPr>
        <w:t>.  The 2</w:t>
      </w:r>
      <w:r w:rsidR="00E0199B" w:rsidRPr="00043019">
        <w:rPr>
          <w:rFonts w:ascii="Times New Roman" w:hAnsi="Times New Roman"/>
          <w:szCs w:val="24"/>
        </w:rPr>
        <w:t>48 publicly owned lakes in the c</w:t>
      </w:r>
      <w:r w:rsidRPr="00043019">
        <w:rPr>
          <w:rFonts w:ascii="Times New Roman" w:hAnsi="Times New Roman"/>
          <w:szCs w:val="24"/>
        </w:rPr>
        <w:t xml:space="preserve">ommonwealth have a combined area of </w:t>
      </w:r>
      <w:r w:rsidR="000B5BEE" w:rsidRPr="00043019">
        <w:rPr>
          <w:rFonts w:ascii="Times New Roman" w:hAnsi="Times New Roman"/>
          <w:szCs w:val="24"/>
        </w:rPr>
        <w:t xml:space="preserve">117,158 </w:t>
      </w:r>
      <w:r w:rsidRPr="00043019">
        <w:rPr>
          <w:rFonts w:ascii="Times New Roman" w:hAnsi="Times New Roman"/>
          <w:szCs w:val="24"/>
        </w:rPr>
        <w:t>acres. Of these lakes, 123 are considered “significant lakes” for monitoring purposes, totaling approximately 113,545 acres.  Many hundreds of other smaller, privately owned lakes, reservoirs and ponds, some of sign</w:t>
      </w:r>
      <w:r w:rsidR="003719F0">
        <w:rPr>
          <w:rFonts w:ascii="Times New Roman" w:hAnsi="Times New Roman"/>
          <w:szCs w:val="24"/>
        </w:rPr>
        <w:t>ificant size, dot the landscape.</w:t>
      </w:r>
      <w:bookmarkStart w:id="0" w:name="_GoBack"/>
      <w:bookmarkEnd w:id="0"/>
    </w:p>
    <w:p w14:paraId="292D4512" w14:textId="77777777" w:rsidR="00493696" w:rsidRPr="00043019" w:rsidRDefault="00493696" w:rsidP="003719F0">
      <w:pPr>
        <w:ind w:firstLine="720"/>
        <w:rPr>
          <w:rFonts w:ascii="Times New Roman" w:hAnsi="Times New Roman"/>
          <w:szCs w:val="24"/>
        </w:rPr>
      </w:pPr>
    </w:p>
    <w:p w14:paraId="48BF7F8E" w14:textId="77777777" w:rsidR="00903775" w:rsidRDefault="00903775" w:rsidP="00493696">
      <w:pPr>
        <w:rPr>
          <w:rFonts w:ascii="Times New Roman" w:hAnsi="Times New Roman"/>
          <w:szCs w:val="24"/>
        </w:rPr>
      </w:pPr>
      <w:r w:rsidRPr="00043019">
        <w:rPr>
          <w:rFonts w:ascii="Times New Roman" w:hAnsi="Times New Roman"/>
          <w:szCs w:val="24"/>
        </w:rPr>
        <w:t xml:space="preserve">Other important water features of Virginia include approximately 236,900 acres of tidal and </w:t>
      </w:r>
      <w:r w:rsidRPr="00043019">
        <w:rPr>
          <w:rFonts w:ascii="Times New Roman" w:hAnsi="Times New Roman"/>
          <w:szCs w:val="24"/>
        </w:rPr>
        <w:lastRenderedPageBreak/>
        <w:t>coastal wetlands, 808,000 acres of freshwater wetlands, 120 miles of Atlantic Ocean coastline, and approximately 2,308 square miles of Chesapeake Bay estuarine waters.  Virginia's highly indented shoreline, including the Chesapeake Bay and its sub</w:t>
      </w:r>
      <w:r w:rsidRPr="00043019">
        <w:rPr>
          <w:rFonts w:ascii="Times New Roman" w:hAnsi="Times New Roman"/>
          <w:szCs w:val="24"/>
        </w:rPr>
        <w:noBreakHyphen/>
        <w:t>estuaries, is conservatively estimated to be 3,315 miles long.</w:t>
      </w:r>
    </w:p>
    <w:p w14:paraId="758D5761" w14:textId="77777777" w:rsidR="00493696" w:rsidRPr="00493696" w:rsidRDefault="00493696" w:rsidP="00493696">
      <w:pPr>
        <w:rPr>
          <w:rFonts w:ascii="Times New Roman" w:hAnsi="Times New Roman"/>
          <w:szCs w:val="24"/>
        </w:rPr>
      </w:pPr>
    </w:p>
    <w:tbl>
      <w:tblPr>
        <w:tblW w:w="936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620" w:firstRow="1" w:lastRow="0" w:firstColumn="0" w:lastColumn="0" w:noHBand="1" w:noVBand="1"/>
        <w:tblCaption w:val="Virginia Water Resources Atlas"/>
        <w:tblDescription w:val="A summary of Virginia's water resources."/>
      </w:tblPr>
      <w:tblGrid>
        <w:gridCol w:w="9360"/>
      </w:tblGrid>
      <w:tr w:rsidR="00793F79" w:rsidRPr="00043019" w14:paraId="172D65DF" w14:textId="77777777" w:rsidTr="004B377B">
        <w:trPr>
          <w:trHeight w:val="288"/>
          <w:tblHeader/>
        </w:trPr>
        <w:tc>
          <w:tcPr>
            <w:tcW w:w="9360" w:type="dxa"/>
            <w:vAlign w:val="center"/>
          </w:tcPr>
          <w:p w14:paraId="4A5E1A8D" w14:textId="77777777" w:rsidR="00793F79" w:rsidRPr="00043019" w:rsidRDefault="00793F79" w:rsidP="000B0018">
            <w:pPr>
              <w:pStyle w:val="Heading1"/>
              <w:rPr>
                <w:rFonts w:ascii="Times New Roman" w:hAnsi="Times New Roman"/>
                <w:sz w:val="24"/>
                <w:szCs w:val="24"/>
              </w:rPr>
            </w:pPr>
            <w:r w:rsidRPr="00043019">
              <w:rPr>
                <w:rFonts w:ascii="Times New Roman" w:hAnsi="Times New Roman"/>
                <w:sz w:val="24"/>
                <w:szCs w:val="24"/>
              </w:rPr>
              <w:t>Table 2-1 Virginia Water Resources Atlas</w:t>
            </w:r>
          </w:p>
        </w:tc>
      </w:tr>
      <w:tr w:rsidR="00181897" w:rsidRPr="00043019" w14:paraId="53AF03D7" w14:textId="77777777" w:rsidTr="00793F79">
        <w:trPr>
          <w:trHeight w:val="9280"/>
          <w:tblHeader/>
        </w:trPr>
        <w:tc>
          <w:tcPr>
            <w:tcW w:w="9360" w:type="dxa"/>
          </w:tcPr>
          <w:p w14:paraId="43A9DCE6" w14:textId="77777777" w:rsidR="00181897" w:rsidRPr="00043019" w:rsidRDefault="00181897" w:rsidP="009D1D3B">
            <w:pPr>
              <w:jc w:val="both"/>
              <w:rPr>
                <w:rFonts w:ascii="Times New Roman" w:hAnsi="Times New Roman"/>
                <w:szCs w:val="24"/>
              </w:rPr>
            </w:pPr>
            <w:r w:rsidRPr="00043019">
              <w:rPr>
                <w:rFonts w:ascii="Times New Roman" w:hAnsi="Times New Roman"/>
                <w:szCs w:val="24"/>
              </w:rPr>
              <w:t>State Population (2006 census) – 7,642,884</w:t>
            </w:r>
          </w:p>
          <w:p w14:paraId="668C48EE" w14:textId="09335286" w:rsidR="00181897" w:rsidRDefault="00634193" w:rsidP="009D1D3B">
            <w:pPr>
              <w:jc w:val="both"/>
              <w:rPr>
                <w:rFonts w:ascii="Times New Roman" w:hAnsi="Times New Roman"/>
                <w:color w:val="000000"/>
                <w:szCs w:val="24"/>
              </w:rPr>
            </w:pPr>
            <w:r w:rsidRPr="00043019">
              <w:rPr>
                <w:rFonts w:ascii="Times New Roman" w:hAnsi="Times New Roman"/>
                <w:szCs w:val="24"/>
              </w:rPr>
              <w:tab/>
            </w:r>
            <w:r w:rsidRPr="00043019">
              <w:rPr>
                <w:rFonts w:ascii="Times New Roman" w:hAnsi="Times New Roman"/>
                <w:szCs w:val="24"/>
              </w:rPr>
              <w:tab/>
              <w:t xml:space="preserve">  </w:t>
            </w:r>
            <w:r w:rsidR="008D7EF3">
              <w:rPr>
                <w:rFonts w:ascii="Times New Roman" w:hAnsi="Times New Roman"/>
                <w:szCs w:val="24"/>
              </w:rPr>
              <w:t xml:space="preserve"> </w:t>
            </w:r>
            <w:r w:rsidR="00181897" w:rsidRPr="00043019">
              <w:rPr>
                <w:rFonts w:ascii="Times New Roman" w:hAnsi="Times New Roman"/>
                <w:szCs w:val="24"/>
              </w:rPr>
              <w:t xml:space="preserve">(2010 census) – </w:t>
            </w:r>
            <w:r w:rsidR="00181897" w:rsidRPr="00043019">
              <w:rPr>
                <w:rFonts w:ascii="Times New Roman" w:hAnsi="Times New Roman"/>
                <w:color w:val="000000"/>
                <w:szCs w:val="24"/>
              </w:rPr>
              <w:t>8,001,024</w:t>
            </w:r>
          </w:p>
          <w:p w14:paraId="10F196CE" w14:textId="48287505" w:rsidR="003D0339" w:rsidRPr="00043019" w:rsidRDefault="003D0339" w:rsidP="009D1D3B">
            <w:pPr>
              <w:jc w:val="both"/>
              <w:rPr>
                <w:rFonts w:ascii="Times New Roman" w:hAnsi="Times New Roman"/>
                <w:szCs w:val="24"/>
              </w:rPr>
            </w:pPr>
            <w:r>
              <w:rPr>
                <w:rFonts w:ascii="Times New Roman" w:hAnsi="Times New Roman"/>
                <w:szCs w:val="24"/>
              </w:rPr>
              <w:t xml:space="preserve">                           (2020 census) – 8,631,393</w:t>
            </w:r>
          </w:p>
          <w:p w14:paraId="2ED6C973" w14:textId="77777777" w:rsidR="00181897" w:rsidRPr="00043019" w:rsidRDefault="00181897" w:rsidP="00634193">
            <w:pPr>
              <w:rPr>
                <w:rFonts w:ascii="Times New Roman" w:hAnsi="Times New Roman"/>
                <w:szCs w:val="24"/>
              </w:rPr>
            </w:pPr>
          </w:p>
          <w:p w14:paraId="00FB0557" w14:textId="77777777" w:rsidR="00181897" w:rsidRPr="00043019" w:rsidRDefault="00181897" w:rsidP="009D1D3B">
            <w:pPr>
              <w:jc w:val="both"/>
              <w:rPr>
                <w:rFonts w:ascii="Times New Roman" w:hAnsi="Times New Roman"/>
                <w:szCs w:val="24"/>
              </w:rPr>
            </w:pPr>
            <w:r w:rsidRPr="00043019">
              <w:rPr>
                <w:rFonts w:ascii="Times New Roman" w:hAnsi="Times New Roman"/>
                <w:szCs w:val="24"/>
              </w:rPr>
              <w:t>State Surface Area – 42,775 square miles</w:t>
            </w:r>
          </w:p>
          <w:p w14:paraId="390895CD" w14:textId="77777777" w:rsidR="00181897" w:rsidRPr="00043019" w:rsidRDefault="00181897" w:rsidP="009D1D3B">
            <w:pPr>
              <w:jc w:val="both"/>
              <w:rPr>
                <w:rFonts w:ascii="Times New Roman" w:hAnsi="Times New Roman"/>
                <w:szCs w:val="24"/>
              </w:rPr>
            </w:pPr>
          </w:p>
          <w:p w14:paraId="19679FFC" w14:textId="77777777" w:rsidR="00181897" w:rsidRPr="00043019" w:rsidRDefault="00181897" w:rsidP="009D1D3B">
            <w:pPr>
              <w:jc w:val="both"/>
              <w:rPr>
                <w:rFonts w:ascii="Times New Roman" w:hAnsi="Times New Roman"/>
                <w:szCs w:val="24"/>
              </w:rPr>
            </w:pPr>
            <w:r w:rsidRPr="00043019">
              <w:rPr>
                <w:rFonts w:ascii="Times New Roman" w:hAnsi="Times New Roman"/>
                <w:szCs w:val="24"/>
              </w:rPr>
              <w:t>Major River Basins</w:t>
            </w:r>
          </w:p>
          <w:p w14:paraId="37714291" w14:textId="77777777" w:rsidR="00181897" w:rsidRPr="00043019" w:rsidRDefault="00181897" w:rsidP="009D1D3B">
            <w:pPr>
              <w:ind w:firstLine="720"/>
              <w:jc w:val="both"/>
              <w:rPr>
                <w:rFonts w:ascii="Times New Roman" w:hAnsi="Times New Roman"/>
                <w:szCs w:val="24"/>
              </w:rPr>
            </w:pPr>
            <w:r w:rsidRPr="00043019">
              <w:rPr>
                <w:rFonts w:ascii="Times New Roman" w:hAnsi="Times New Roman"/>
                <w:szCs w:val="24"/>
              </w:rPr>
              <w:t>Potomac/Shenandoah</w:t>
            </w:r>
            <w:r w:rsidRPr="00043019">
              <w:rPr>
                <w:rFonts w:ascii="Times New Roman" w:hAnsi="Times New Roman"/>
                <w:szCs w:val="24"/>
              </w:rPr>
              <w:tab/>
            </w:r>
            <w:r w:rsidRPr="00043019">
              <w:rPr>
                <w:rFonts w:ascii="Times New Roman" w:hAnsi="Times New Roman"/>
                <w:szCs w:val="24"/>
              </w:rPr>
              <w:tab/>
              <w:t xml:space="preserve">            Tennessee/Big Sandy</w:t>
            </w:r>
          </w:p>
          <w:p w14:paraId="0F137B1D" w14:textId="1B19C770" w:rsidR="00181897" w:rsidRPr="00043019" w:rsidRDefault="00181897" w:rsidP="008D7EF3">
            <w:pPr>
              <w:ind w:left="720"/>
              <w:jc w:val="both"/>
              <w:rPr>
                <w:rFonts w:ascii="Times New Roman" w:hAnsi="Times New Roman"/>
                <w:szCs w:val="24"/>
              </w:rPr>
            </w:pPr>
            <w:r w:rsidRPr="00043019">
              <w:rPr>
                <w:rFonts w:ascii="Times New Roman" w:hAnsi="Times New Roman"/>
                <w:szCs w:val="24"/>
              </w:rPr>
              <w:t>James</w:t>
            </w:r>
            <w:r w:rsidRPr="00043019">
              <w:rPr>
                <w:rFonts w:ascii="Times New Roman" w:hAnsi="Times New Roman"/>
                <w:szCs w:val="24"/>
              </w:rPr>
              <w:tab/>
            </w:r>
            <w:r w:rsidRPr="00043019">
              <w:rPr>
                <w:rFonts w:ascii="Times New Roman" w:hAnsi="Times New Roman"/>
                <w:szCs w:val="24"/>
              </w:rPr>
              <w:tab/>
            </w:r>
            <w:r w:rsidRPr="00043019">
              <w:rPr>
                <w:rFonts w:ascii="Times New Roman" w:hAnsi="Times New Roman"/>
                <w:szCs w:val="24"/>
              </w:rPr>
              <w:tab/>
            </w:r>
            <w:r w:rsidRPr="00043019">
              <w:rPr>
                <w:rFonts w:ascii="Times New Roman" w:hAnsi="Times New Roman"/>
                <w:szCs w:val="24"/>
              </w:rPr>
              <w:tab/>
              <w:t xml:space="preserve">            Chesapeake Bay/</w:t>
            </w:r>
            <w:r w:rsidR="00634193" w:rsidRPr="00043019">
              <w:rPr>
                <w:rFonts w:ascii="Times New Roman" w:hAnsi="Times New Roman"/>
                <w:szCs w:val="24"/>
              </w:rPr>
              <w:t>Atlantic/</w:t>
            </w:r>
            <w:r w:rsidRPr="00043019">
              <w:rPr>
                <w:rFonts w:ascii="Times New Roman" w:hAnsi="Times New Roman"/>
                <w:szCs w:val="24"/>
              </w:rPr>
              <w:t>Small Coastal</w:t>
            </w:r>
          </w:p>
          <w:p w14:paraId="7966B11E" w14:textId="77777777" w:rsidR="00181897" w:rsidRPr="00043019" w:rsidRDefault="00181897" w:rsidP="009D1D3B">
            <w:pPr>
              <w:ind w:firstLine="720"/>
              <w:jc w:val="both"/>
              <w:rPr>
                <w:rFonts w:ascii="Times New Roman" w:hAnsi="Times New Roman"/>
                <w:szCs w:val="24"/>
              </w:rPr>
            </w:pPr>
            <w:r w:rsidRPr="00043019">
              <w:rPr>
                <w:rFonts w:ascii="Times New Roman" w:hAnsi="Times New Roman"/>
                <w:szCs w:val="24"/>
              </w:rPr>
              <w:t>York</w:t>
            </w:r>
            <w:r w:rsidRPr="00043019">
              <w:rPr>
                <w:rFonts w:ascii="Times New Roman" w:hAnsi="Times New Roman"/>
                <w:szCs w:val="24"/>
              </w:rPr>
              <w:tab/>
            </w:r>
            <w:r w:rsidRPr="00043019">
              <w:rPr>
                <w:rFonts w:ascii="Times New Roman" w:hAnsi="Times New Roman"/>
                <w:szCs w:val="24"/>
              </w:rPr>
              <w:tab/>
            </w:r>
            <w:r w:rsidRPr="00043019">
              <w:rPr>
                <w:rFonts w:ascii="Times New Roman" w:hAnsi="Times New Roman"/>
                <w:szCs w:val="24"/>
              </w:rPr>
              <w:tab/>
            </w:r>
            <w:r w:rsidRPr="00043019">
              <w:rPr>
                <w:rFonts w:ascii="Times New Roman" w:hAnsi="Times New Roman"/>
                <w:szCs w:val="24"/>
              </w:rPr>
              <w:tab/>
              <w:t xml:space="preserve">            Rappahannock</w:t>
            </w:r>
          </w:p>
          <w:p w14:paraId="73A5C4D4" w14:textId="77777777" w:rsidR="00181897" w:rsidRPr="00043019" w:rsidRDefault="00181897" w:rsidP="009D1D3B">
            <w:pPr>
              <w:ind w:firstLine="720"/>
              <w:jc w:val="both"/>
              <w:rPr>
                <w:rFonts w:ascii="Times New Roman" w:hAnsi="Times New Roman"/>
                <w:szCs w:val="24"/>
              </w:rPr>
            </w:pPr>
            <w:r w:rsidRPr="00043019">
              <w:rPr>
                <w:rFonts w:ascii="Times New Roman" w:hAnsi="Times New Roman"/>
                <w:szCs w:val="24"/>
              </w:rPr>
              <w:t>Roanoke/Yadkin</w:t>
            </w:r>
            <w:r w:rsidRPr="00043019">
              <w:rPr>
                <w:rFonts w:ascii="Times New Roman" w:hAnsi="Times New Roman"/>
                <w:szCs w:val="24"/>
              </w:rPr>
              <w:tab/>
            </w:r>
            <w:r w:rsidRPr="00043019">
              <w:rPr>
                <w:rFonts w:ascii="Times New Roman" w:hAnsi="Times New Roman"/>
                <w:szCs w:val="24"/>
              </w:rPr>
              <w:tab/>
              <w:t xml:space="preserve">            New</w:t>
            </w:r>
          </w:p>
          <w:p w14:paraId="397CFFD0" w14:textId="77777777" w:rsidR="00181897" w:rsidRPr="00043019" w:rsidRDefault="00181897" w:rsidP="009D1D3B">
            <w:pPr>
              <w:ind w:firstLine="720"/>
              <w:jc w:val="both"/>
              <w:rPr>
                <w:rFonts w:ascii="Times New Roman" w:hAnsi="Times New Roman"/>
                <w:szCs w:val="24"/>
              </w:rPr>
            </w:pPr>
            <w:r w:rsidRPr="00043019">
              <w:rPr>
                <w:rFonts w:ascii="Times New Roman" w:hAnsi="Times New Roman"/>
                <w:szCs w:val="24"/>
              </w:rPr>
              <w:t>Chowan/Dismal Swamp</w:t>
            </w:r>
          </w:p>
          <w:p w14:paraId="0B6E9FB7" w14:textId="77777777" w:rsidR="00181897" w:rsidRPr="00043019" w:rsidRDefault="00181897" w:rsidP="009D1D3B">
            <w:pPr>
              <w:jc w:val="both"/>
              <w:rPr>
                <w:rFonts w:ascii="Times New Roman" w:hAnsi="Times New Roman"/>
                <w:szCs w:val="24"/>
              </w:rPr>
            </w:pPr>
          </w:p>
          <w:p w14:paraId="2DF1D818" w14:textId="6F27EA02" w:rsidR="00181897" w:rsidRPr="00043019" w:rsidRDefault="00181897" w:rsidP="009D1D3B">
            <w:pPr>
              <w:jc w:val="both"/>
              <w:rPr>
                <w:rFonts w:ascii="Times New Roman" w:hAnsi="Times New Roman"/>
                <w:szCs w:val="24"/>
              </w:rPr>
            </w:pPr>
            <w:r w:rsidRPr="00043019">
              <w:rPr>
                <w:rFonts w:ascii="Times New Roman" w:hAnsi="Times New Roman"/>
                <w:szCs w:val="24"/>
              </w:rPr>
              <w:t xml:space="preserve">Total Non-Tidal River/Stream Miles </w:t>
            </w:r>
            <w:r w:rsidR="00634193" w:rsidRPr="00043019">
              <w:rPr>
                <w:rFonts w:ascii="Times New Roman" w:hAnsi="Times New Roman"/>
                <w:szCs w:val="24"/>
              </w:rPr>
              <w:t xml:space="preserve">– </w:t>
            </w:r>
            <w:r w:rsidR="00DC5A57">
              <w:rPr>
                <w:rFonts w:ascii="Times New Roman" w:hAnsi="Times New Roman"/>
                <w:snapToGrid/>
                <w:szCs w:val="24"/>
              </w:rPr>
              <w:t>100,949</w:t>
            </w:r>
          </w:p>
          <w:p w14:paraId="31FBD56E" w14:textId="77777777" w:rsidR="00181897" w:rsidRPr="00043019" w:rsidRDefault="00181897" w:rsidP="009D1D3B">
            <w:pPr>
              <w:jc w:val="both"/>
              <w:rPr>
                <w:rFonts w:ascii="Times New Roman" w:hAnsi="Times New Roman"/>
                <w:szCs w:val="24"/>
              </w:rPr>
            </w:pPr>
          </w:p>
          <w:p w14:paraId="2537A618" w14:textId="77777777" w:rsidR="00181897" w:rsidRPr="00043019" w:rsidRDefault="00181897" w:rsidP="009D1D3B">
            <w:pPr>
              <w:jc w:val="both"/>
              <w:rPr>
                <w:rFonts w:ascii="Times New Roman" w:hAnsi="Times New Roman"/>
                <w:szCs w:val="24"/>
              </w:rPr>
            </w:pPr>
            <w:r w:rsidRPr="00043019">
              <w:rPr>
                <w:rFonts w:ascii="Times New Roman" w:hAnsi="Times New Roman"/>
                <w:szCs w:val="24"/>
              </w:rPr>
              <w:t xml:space="preserve">Miles of Border River (Potomac) </w:t>
            </w:r>
            <w:r w:rsidR="00634193" w:rsidRPr="00043019">
              <w:rPr>
                <w:rFonts w:ascii="Times New Roman" w:hAnsi="Times New Roman"/>
                <w:szCs w:val="24"/>
              </w:rPr>
              <w:t xml:space="preserve">– </w:t>
            </w:r>
            <w:r w:rsidRPr="00043019">
              <w:rPr>
                <w:rFonts w:ascii="Times New Roman" w:hAnsi="Times New Roman"/>
                <w:szCs w:val="24"/>
              </w:rPr>
              <w:t>180</w:t>
            </w:r>
          </w:p>
          <w:p w14:paraId="62EBA4FB" w14:textId="77777777" w:rsidR="00181897" w:rsidRPr="00043019" w:rsidRDefault="00181897" w:rsidP="009D1D3B">
            <w:pPr>
              <w:jc w:val="both"/>
              <w:rPr>
                <w:rFonts w:ascii="Times New Roman" w:hAnsi="Times New Roman"/>
                <w:szCs w:val="24"/>
              </w:rPr>
            </w:pPr>
          </w:p>
          <w:p w14:paraId="05252F38" w14:textId="77777777" w:rsidR="00181897" w:rsidRPr="00043019" w:rsidRDefault="00181897" w:rsidP="009D1D3B">
            <w:pPr>
              <w:jc w:val="both"/>
              <w:rPr>
                <w:rFonts w:ascii="Times New Roman" w:hAnsi="Times New Roman"/>
                <w:szCs w:val="24"/>
              </w:rPr>
            </w:pPr>
            <w:r w:rsidRPr="00043019">
              <w:rPr>
                <w:rFonts w:ascii="Times New Roman" w:hAnsi="Times New Roman"/>
                <w:szCs w:val="24"/>
              </w:rPr>
              <w:t xml:space="preserve">Publicly-Owned Significant Lakes and Reservoirs </w:t>
            </w:r>
            <w:r w:rsidR="00634193" w:rsidRPr="00043019">
              <w:rPr>
                <w:rFonts w:ascii="Times New Roman" w:hAnsi="Times New Roman"/>
                <w:szCs w:val="24"/>
              </w:rPr>
              <w:t xml:space="preserve">– </w:t>
            </w:r>
            <w:r w:rsidRPr="00043019">
              <w:rPr>
                <w:rFonts w:ascii="Times New Roman" w:hAnsi="Times New Roman"/>
                <w:szCs w:val="24"/>
              </w:rPr>
              <w:t>123</w:t>
            </w:r>
          </w:p>
          <w:p w14:paraId="7E911862" w14:textId="77777777" w:rsidR="00181897" w:rsidRPr="00043019" w:rsidRDefault="00181897" w:rsidP="009D1D3B">
            <w:pPr>
              <w:jc w:val="both"/>
              <w:rPr>
                <w:rFonts w:ascii="Times New Roman" w:hAnsi="Times New Roman"/>
                <w:szCs w:val="24"/>
              </w:rPr>
            </w:pPr>
          </w:p>
          <w:p w14:paraId="1F616BC7" w14:textId="41AC55B4" w:rsidR="00181897" w:rsidRPr="00043019" w:rsidRDefault="00181897" w:rsidP="009D1D3B">
            <w:pPr>
              <w:jc w:val="both"/>
              <w:rPr>
                <w:rFonts w:ascii="Times New Roman" w:hAnsi="Times New Roman"/>
                <w:szCs w:val="24"/>
              </w:rPr>
            </w:pPr>
            <w:r w:rsidRPr="00043019">
              <w:rPr>
                <w:rFonts w:ascii="Times New Roman" w:hAnsi="Times New Roman"/>
                <w:szCs w:val="24"/>
              </w:rPr>
              <w:t xml:space="preserve">Significant Lake/Reservoir Acres </w:t>
            </w:r>
            <w:r w:rsidR="00634193" w:rsidRPr="00043019">
              <w:rPr>
                <w:rFonts w:ascii="Times New Roman" w:hAnsi="Times New Roman"/>
                <w:szCs w:val="24"/>
              </w:rPr>
              <w:t xml:space="preserve">– </w:t>
            </w:r>
            <w:r w:rsidR="00DC5A57">
              <w:rPr>
                <w:rFonts w:ascii="Times New Roman" w:hAnsi="Times New Roman"/>
                <w:szCs w:val="24"/>
              </w:rPr>
              <w:t>117,756</w:t>
            </w:r>
          </w:p>
          <w:p w14:paraId="777074A7" w14:textId="77777777" w:rsidR="00181897" w:rsidRPr="00043019" w:rsidRDefault="00181897" w:rsidP="009D1D3B">
            <w:pPr>
              <w:jc w:val="both"/>
              <w:rPr>
                <w:rFonts w:ascii="Times New Roman" w:hAnsi="Times New Roman"/>
                <w:szCs w:val="24"/>
              </w:rPr>
            </w:pPr>
          </w:p>
          <w:p w14:paraId="30380FD3" w14:textId="77777777" w:rsidR="00181897" w:rsidRPr="000C42B0" w:rsidRDefault="00181897" w:rsidP="009D1D3B">
            <w:pPr>
              <w:jc w:val="both"/>
              <w:rPr>
                <w:rFonts w:ascii="Times New Roman" w:hAnsi="Times New Roman"/>
                <w:szCs w:val="24"/>
              </w:rPr>
            </w:pPr>
            <w:r w:rsidRPr="000C42B0">
              <w:rPr>
                <w:rFonts w:ascii="Times New Roman" w:hAnsi="Times New Roman"/>
                <w:szCs w:val="24"/>
              </w:rPr>
              <w:t xml:space="preserve">Total Acres of Palustrine Wetlands </w:t>
            </w:r>
            <w:r w:rsidR="00634193" w:rsidRPr="000C42B0">
              <w:rPr>
                <w:rFonts w:ascii="Times New Roman" w:hAnsi="Times New Roman"/>
                <w:szCs w:val="24"/>
              </w:rPr>
              <w:t xml:space="preserve">– </w:t>
            </w:r>
            <w:r w:rsidRPr="000C42B0">
              <w:rPr>
                <w:rFonts w:ascii="Times New Roman" w:hAnsi="Times New Roman"/>
                <w:szCs w:val="24"/>
              </w:rPr>
              <w:t>1,075,443</w:t>
            </w:r>
          </w:p>
          <w:p w14:paraId="71C3CD84" w14:textId="77777777" w:rsidR="00181897" w:rsidRPr="000C42B0" w:rsidRDefault="00181897" w:rsidP="009D1D3B">
            <w:pPr>
              <w:jc w:val="both"/>
              <w:rPr>
                <w:rFonts w:ascii="Times New Roman" w:hAnsi="Times New Roman"/>
                <w:szCs w:val="24"/>
              </w:rPr>
            </w:pPr>
            <w:r w:rsidRPr="000C42B0">
              <w:rPr>
                <w:rFonts w:ascii="Times New Roman" w:hAnsi="Times New Roman"/>
                <w:szCs w:val="24"/>
              </w:rPr>
              <w:t xml:space="preserve">Total Acres of Riverine Wetlands </w:t>
            </w:r>
            <w:r w:rsidR="00634193" w:rsidRPr="000C42B0">
              <w:rPr>
                <w:rFonts w:ascii="Times New Roman" w:hAnsi="Times New Roman"/>
                <w:szCs w:val="24"/>
              </w:rPr>
              <w:t xml:space="preserve">– </w:t>
            </w:r>
            <w:r w:rsidRPr="000C42B0">
              <w:rPr>
                <w:rFonts w:ascii="Times New Roman" w:hAnsi="Times New Roman"/>
                <w:szCs w:val="24"/>
              </w:rPr>
              <w:t>380</w:t>
            </w:r>
          </w:p>
          <w:p w14:paraId="7FB0462C" w14:textId="77777777" w:rsidR="00181897" w:rsidRPr="000C42B0" w:rsidRDefault="00181897" w:rsidP="009D1D3B">
            <w:pPr>
              <w:jc w:val="both"/>
              <w:rPr>
                <w:rFonts w:ascii="Times New Roman" w:hAnsi="Times New Roman"/>
                <w:szCs w:val="24"/>
              </w:rPr>
            </w:pPr>
            <w:r w:rsidRPr="000C42B0">
              <w:rPr>
                <w:rFonts w:ascii="Times New Roman" w:hAnsi="Times New Roman"/>
                <w:szCs w:val="24"/>
              </w:rPr>
              <w:t xml:space="preserve">Total Acres of Lacustrine Wetlands </w:t>
            </w:r>
            <w:r w:rsidR="00634193" w:rsidRPr="000C42B0">
              <w:rPr>
                <w:rFonts w:ascii="Times New Roman" w:hAnsi="Times New Roman"/>
                <w:szCs w:val="24"/>
              </w:rPr>
              <w:t xml:space="preserve">– </w:t>
            </w:r>
            <w:r w:rsidRPr="000C42B0">
              <w:rPr>
                <w:rFonts w:ascii="Times New Roman" w:hAnsi="Times New Roman"/>
                <w:szCs w:val="24"/>
              </w:rPr>
              <w:t>193</w:t>
            </w:r>
          </w:p>
          <w:p w14:paraId="288104B1" w14:textId="77777777" w:rsidR="00181897" w:rsidRPr="000C42B0" w:rsidRDefault="00181897" w:rsidP="009D1D3B">
            <w:pPr>
              <w:jc w:val="both"/>
              <w:rPr>
                <w:rFonts w:ascii="Times New Roman" w:hAnsi="Times New Roman"/>
                <w:szCs w:val="24"/>
              </w:rPr>
            </w:pPr>
            <w:r w:rsidRPr="000C42B0">
              <w:rPr>
                <w:rFonts w:ascii="Times New Roman" w:hAnsi="Times New Roman"/>
                <w:szCs w:val="24"/>
              </w:rPr>
              <w:t xml:space="preserve">Total Acres of Estuarine Wetlands </w:t>
            </w:r>
            <w:r w:rsidR="00634193" w:rsidRPr="000C42B0">
              <w:rPr>
                <w:rFonts w:ascii="Times New Roman" w:hAnsi="Times New Roman"/>
                <w:szCs w:val="24"/>
              </w:rPr>
              <w:t xml:space="preserve">– </w:t>
            </w:r>
            <w:r w:rsidRPr="000C42B0">
              <w:rPr>
                <w:rFonts w:ascii="Times New Roman" w:hAnsi="Times New Roman"/>
                <w:szCs w:val="24"/>
              </w:rPr>
              <w:t>190,996</w:t>
            </w:r>
          </w:p>
          <w:p w14:paraId="789DB3C5" w14:textId="77777777" w:rsidR="00181897" w:rsidRPr="00043019" w:rsidRDefault="00181897" w:rsidP="009D1D3B">
            <w:pPr>
              <w:jc w:val="both"/>
              <w:rPr>
                <w:rFonts w:ascii="Times New Roman" w:hAnsi="Times New Roman"/>
                <w:szCs w:val="24"/>
              </w:rPr>
            </w:pPr>
            <w:r w:rsidRPr="000C42B0">
              <w:rPr>
                <w:rFonts w:ascii="Times New Roman" w:hAnsi="Times New Roman"/>
                <w:szCs w:val="24"/>
              </w:rPr>
              <w:t xml:space="preserve">Total Acres of Isolated Wetlands </w:t>
            </w:r>
            <w:r w:rsidR="00634193" w:rsidRPr="000C42B0">
              <w:rPr>
                <w:rFonts w:ascii="Times New Roman" w:hAnsi="Times New Roman"/>
                <w:szCs w:val="24"/>
              </w:rPr>
              <w:t xml:space="preserve">– </w:t>
            </w:r>
            <w:r w:rsidRPr="000C42B0">
              <w:rPr>
                <w:rFonts w:ascii="Times New Roman" w:hAnsi="Times New Roman"/>
                <w:szCs w:val="24"/>
              </w:rPr>
              <w:t>≈ 250,000</w:t>
            </w:r>
          </w:p>
          <w:p w14:paraId="5506729E" w14:textId="77777777" w:rsidR="00181897" w:rsidRPr="00043019" w:rsidRDefault="00181897" w:rsidP="009D1D3B">
            <w:pPr>
              <w:jc w:val="both"/>
              <w:rPr>
                <w:rFonts w:ascii="Times New Roman" w:hAnsi="Times New Roman"/>
                <w:szCs w:val="24"/>
              </w:rPr>
            </w:pPr>
          </w:p>
          <w:p w14:paraId="73680085" w14:textId="38646E83" w:rsidR="00181897" w:rsidRPr="00043019" w:rsidRDefault="00181897" w:rsidP="009D1D3B">
            <w:pPr>
              <w:jc w:val="both"/>
              <w:rPr>
                <w:rFonts w:ascii="Times New Roman" w:hAnsi="Times New Roman"/>
                <w:szCs w:val="24"/>
              </w:rPr>
            </w:pPr>
            <w:r w:rsidRPr="00043019">
              <w:rPr>
                <w:rFonts w:ascii="Times New Roman" w:hAnsi="Times New Roman"/>
                <w:szCs w:val="24"/>
              </w:rPr>
              <w:t xml:space="preserve">Estuary Square Miles (excluding small coastal areas) </w:t>
            </w:r>
            <w:r w:rsidR="00634193" w:rsidRPr="00043019">
              <w:rPr>
                <w:rFonts w:ascii="Times New Roman" w:hAnsi="Times New Roman"/>
                <w:szCs w:val="24"/>
              </w:rPr>
              <w:t xml:space="preserve">– </w:t>
            </w:r>
            <w:r w:rsidR="00DC5A57">
              <w:rPr>
                <w:rFonts w:ascii="Times New Roman" w:hAnsi="Times New Roman"/>
                <w:szCs w:val="24"/>
              </w:rPr>
              <w:t>2,842</w:t>
            </w:r>
          </w:p>
          <w:p w14:paraId="77E8E872" w14:textId="77777777" w:rsidR="00181897" w:rsidRPr="00043019" w:rsidRDefault="00181897" w:rsidP="009D1D3B">
            <w:pPr>
              <w:jc w:val="both"/>
              <w:rPr>
                <w:rFonts w:ascii="Times New Roman" w:hAnsi="Times New Roman"/>
                <w:szCs w:val="24"/>
              </w:rPr>
            </w:pPr>
          </w:p>
          <w:p w14:paraId="3D2A609D" w14:textId="77777777" w:rsidR="00181897" w:rsidRPr="00043019" w:rsidRDefault="00181897" w:rsidP="009D1D3B">
            <w:pPr>
              <w:jc w:val="both"/>
              <w:rPr>
                <w:rFonts w:ascii="Times New Roman" w:hAnsi="Times New Roman"/>
                <w:szCs w:val="24"/>
              </w:rPr>
            </w:pPr>
            <w:r w:rsidRPr="00043019">
              <w:rPr>
                <w:rFonts w:ascii="Times New Roman" w:hAnsi="Times New Roman"/>
                <w:szCs w:val="24"/>
              </w:rPr>
              <w:t>Atlantic Ocean Coastal Miles – 120</w:t>
            </w:r>
          </w:p>
          <w:p w14:paraId="1DC942F9" w14:textId="77777777" w:rsidR="00181897" w:rsidRPr="00043019" w:rsidRDefault="00181897" w:rsidP="009D1D3B">
            <w:pPr>
              <w:jc w:val="both"/>
              <w:rPr>
                <w:rFonts w:ascii="Times New Roman" w:hAnsi="Times New Roman"/>
                <w:szCs w:val="24"/>
              </w:rPr>
            </w:pPr>
          </w:p>
          <w:p w14:paraId="4D1B1F6D" w14:textId="77777777" w:rsidR="00181897" w:rsidRPr="00043019" w:rsidRDefault="00181897" w:rsidP="009D1D3B">
            <w:pPr>
              <w:jc w:val="both"/>
              <w:rPr>
                <w:rFonts w:ascii="Times New Roman" w:hAnsi="Times New Roman"/>
                <w:szCs w:val="24"/>
              </w:rPr>
            </w:pPr>
            <w:r w:rsidRPr="00043019">
              <w:rPr>
                <w:rFonts w:ascii="Times New Roman" w:hAnsi="Times New Roman"/>
                <w:szCs w:val="24"/>
              </w:rPr>
              <w:t>Total Coastal Shoreline Miles Including Chesapeake Bay and Tidal</w:t>
            </w:r>
          </w:p>
          <w:p w14:paraId="249171B0" w14:textId="77777777" w:rsidR="00181897" w:rsidRPr="00043019" w:rsidRDefault="00181897" w:rsidP="009D1D3B">
            <w:pPr>
              <w:jc w:val="both"/>
              <w:rPr>
                <w:rFonts w:ascii="Times New Roman" w:hAnsi="Times New Roman"/>
                <w:szCs w:val="24"/>
              </w:rPr>
            </w:pPr>
            <w:r w:rsidRPr="00043019">
              <w:rPr>
                <w:rFonts w:ascii="Times New Roman" w:hAnsi="Times New Roman"/>
                <w:szCs w:val="24"/>
              </w:rPr>
              <w:t xml:space="preserve">Tributaries to a Width of 110 Feet </w:t>
            </w:r>
            <w:r w:rsidR="00634193" w:rsidRPr="00043019">
              <w:rPr>
                <w:rFonts w:ascii="Times New Roman" w:hAnsi="Times New Roman"/>
                <w:szCs w:val="24"/>
              </w:rPr>
              <w:t xml:space="preserve">– </w:t>
            </w:r>
            <w:r w:rsidRPr="00043019">
              <w:rPr>
                <w:rFonts w:ascii="Times New Roman" w:hAnsi="Times New Roman"/>
                <w:szCs w:val="24"/>
              </w:rPr>
              <w:t>3,315</w:t>
            </w:r>
          </w:p>
          <w:p w14:paraId="7AC345A6" w14:textId="77777777" w:rsidR="00181897" w:rsidRPr="00043019" w:rsidRDefault="00181897" w:rsidP="009D1D3B">
            <w:pPr>
              <w:jc w:val="both"/>
              <w:rPr>
                <w:rFonts w:ascii="Times New Roman" w:hAnsi="Times New Roman"/>
                <w:szCs w:val="24"/>
              </w:rPr>
            </w:pPr>
          </w:p>
          <w:p w14:paraId="3053F3E8" w14:textId="591F9C2A" w:rsidR="00181897" w:rsidRPr="00043019" w:rsidRDefault="00181897" w:rsidP="009D1D3B">
            <w:pPr>
              <w:jc w:val="both"/>
              <w:rPr>
                <w:rFonts w:ascii="Times New Roman" w:hAnsi="Times New Roman"/>
                <w:szCs w:val="24"/>
              </w:rPr>
            </w:pPr>
            <w:r w:rsidRPr="00043019">
              <w:rPr>
                <w:rFonts w:ascii="Times New Roman" w:hAnsi="Times New Roman"/>
                <w:szCs w:val="24"/>
              </w:rPr>
              <w:t xml:space="preserve">Statewide Average Annual Rainfall </w:t>
            </w:r>
            <w:r w:rsidR="00634193" w:rsidRPr="00043019">
              <w:rPr>
                <w:rFonts w:ascii="Times New Roman" w:hAnsi="Times New Roman"/>
                <w:szCs w:val="24"/>
              </w:rPr>
              <w:t xml:space="preserve">– </w:t>
            </w:r>
            <w:r w:rsidR="00DC5A57">
              <w:rPr>
                <w:rFonts w:ascii="Times New Roman" w:hAnsi="Times New Roman"/>
                <w:szCs w:val="24"/>
              </w:rPr>
              <w:t>44</w:t>
            </w:r>
            <w:r w:rsidRPr="00043019">
              <w:rPr>
                <w:rFonts w:ascii="Times New Roman" w:hAnsi="Times New Roman"/>
                <w:szCs w:val="24"/>
              </w:rPr>
              <w:t xml:space="preserve"> inches</w:t>
            </w:r>
          </w:p>
          <w:p w14:paraId="1FC0D5D6" w14:textId="77777777" w:rsidR="00181897" w:rsidRPr="00043019" w:rsidRDefault="00181897" w:rsidP="009D1D3B">
            <w:pPr>
              <w:jc w:val="both"/>
              <w:rPr>
                <w:rFonts w:ascii="Times New Roman" w:hAnsi="Times New Roman"/>
                <w:szCs w:val="24"/>
              </w:rPr>
            </w:pPr>
          </w:p>
          <w:p w14:paraId="43D84251" w14:textId="77777777" w:rsidR="00181897" w:rsidRPr="00043019" w:rsidRDefault="00181897" w:rsidP="009D1D3B">
            <w:pPr>
              <w:jc w:val="both"/>
              <w:rPr>
                <w:rFonts w:ascii="Times New Roman" w:hAnsi="Times New Roman"/>
                <w:szCs w:val="24"/>
              </w:rPr>
            </w:pPr>
            <w:r w:rsidRPr="00043019">
              <w:rPr>
                <w:rFonts w:ascii="Times New Roman" w:hAnsi="Times New Roman"/>
                <w:szCs w:val="24"/>
              </w:rPr>
              <w:t>Average Freshwater</w:t>
            </w:r>
          </w:p>
          <w:p w14:paraId="5A74F384" w14:textId="77777777" w:rsidR="00181897" w:rsidRPr="00043019" w:rsidRDefault="00181897" w:rsidP="009D1D3B">
            <w:pPr>
              <w:spacing w:after="58"/>
              <w:jc w:val="both"/>
              <w:rPr>
                <w:rFonts w:ascii="Times New Roman" w:hAnsi="Times New Roman"/>
                <w:szCs w:val="24"/>
              </w:rPr>
            </w:pPr>
            <w:r w:rsidRPr="00043019">
              <w:rPr>
                <w:rFonts w:ascii="Times New Roman" w:hAnsi="Times New Roman"/>
                <w:szCs w:val="24"/>
              </w:rPr>
              <w:t>Discharge of All Rivers – Approximately 25 billion gallons per day</w:t>
            </w:r>
          </w:p>
        </w:tc>
      </w:tr>
    </w:tbl>
    <w:p w14:paraId="5FCA6D57" w14:textId="77777777" w:rsidR="00BF5E45" w:rsidRDefault="00BF5E45" w:rsidP="00903775">
      <w:pPr>
        <w:jc w:val="both"/>
        <w:rPr>
          <w:rFonts w:ascii="Times New Roman" w:hAnsi="Times New Roman"/>
          <w:b/>
          <w:szCs w:val="24"/>
        </w:rPr>
      </w:pPr>
    </w:p>
    <w:p w14:paraId="4A6E673E" w14:textId="77777777" w:rsidR="00BF5E45" w:rsidRDefault="00BF5E45">
      <w:pPr>
        <w:widowControl/>
        <w:spacing w:after="200" w:line="276" w:lineRule="auto"/>
        <w:rPr>
          <w:rFonts w:ascii="Times New Roman" w:hAnsi="Times New Roman"/>
          <w:b/>
          <w:szCs w:val="24"/>
        </w:rPr>
      </w:pPr>
      <w:r>
        <w:rPr>
          <w:rFonts w:ascii="Times New Roman" w:hAnsi="Times New Roman"/>
          <w:b/>
          <w:szCs w:val="24"/>
        </w:rPr>
        <w:br w:type="page"/>
      </w:r>
    </w:p>
    <w:p w14:paraId="7C3336BA" w14:textId="73D195D8" w:rsidR="00903775" w:rsidRPr="00043019" w:rsidRDefault="00903775" w:rsidP="00903775">
      <w:pPr>
        <w:jc w:val="both"/>
        <w:rPr>
          <w:rFonts w:ascii="Times New Roman" w:hAnsi="Times New Roman"/>
          <w:b/>
          <w:szCs w:val="24"/>
        </w:rPr>
      </w:pPr>
      <w:r w:rsidRPr="00043019">
        <w:rPr>
          <w:rFonts w:ascii="Times New Roman" w:hAnsi="Times New Roman"/>
          <w:b/>
          <w:szCs w:val="24"/>
        </w:rPr>
        <w:lastRenderedPageBreak/>
        <w:t>Land Use</w:t>
      </w:r>
    </w:p>
    <w:p w14:paraId="53C785CA" w14:textId="77777777" w:rsidR="00903775" w:rsidRPr="00043019" w:rsidRDefault="00903775" w:rsidP="00903775">
      <w:pPr>
        <w:jc w:val="both"/>
        <w:rPr>
          <w:rFonts w:ascii="Times New Roman" w:hAnsi="Times New Roman"/>
          <w:szCs w:val="24"/>
        </w:rPr>
      </w:pPr>
    </w:p>
    <w:p w14:paraId="286478EA" w14:textId="3456B767" w:rsidR="00903775" w:rsidRPr="00043019" w:rsidRDefault="00903775" w:rsidP="00E0199B">
      <w:pPr>
        <w:ind w:firstLine="720"/>
        <w:rPr>
          <w:rFonts w:ascii="Times New Roman" w:hAnsi="Times New Roman"/>
          <w:b/>
          <w:szCs w:val="24"/>
        </w:rPr>
      </w:pPr>
      <w:r w:rsidRPr="00043019">
        <w:rPr>
          <w:rFonts w:ascii="Times New Roman" w:hAnsi="Times New Roman"/>
          <w:szCs w:val="24"/>
        </w:rPr>
        <w:t>Virginia's landscape is dominated by forest</w:t>
      </w:r>
      <w:r w:rsidR="00E0199B" w:rsidRPr="00043019">
        <w:rPr>
          <w:rFonts w:ascii="Times New Roman" w:hAnsi="Times New Roman"/>
          <w:szCs w:val="24"/>
        </w:rPr>
        <w:t xml:space="preserve">s, which cover approximately </w:t>
      </w:r>
      <w:r w:rsidR="00FA3FF0">
        <w:rPr>
          <w:rFonts w:ascii="Times New Roman" w:hAnsi="Times New Roman"/>
          <w:szCs w:val="24"/>
        </w:rPr>
        <w:t>sixty</w:t>
      </w:r>
      <w:r w:rsidR="00E0199B" w:rsidRPr="00043019">
        <w:rPr>
          <w:rFonts w:ascii="Times New Roman" w:hAnsi="Times New Roman"/>
          <w:szCs w:val="24"/>
        </w:rPr>
        <w:t xml:space="preserve"> percent</w:t>
      </w:r>
      <w:r w:rsidRPr="00043019">
        <w:rPr>
          <w:rFonts w:ascii="Times New Roman" w:hAnsi="Times New Roman"/>
          <w:szCs w:val="24"/>
        </w:rPr>
        <w:t xml:space="preserve"> of the state’s total area (Table 2-2)</w:t>
      </w:r>
      <w:r w:rsidR="00FA3FF0">
        <w:rPr>
          <w:rFonts w:ascii="Times New Roman" w:hAnsi="Times New Roman"/>
          <w:szCs w:val="24"/>
        </w:rPr>
        <w:t xml:space="preserve">.  However, according to the Virginia Department of Forestry’s </w:t>
      </w:r>
      <w:r w:rsidR="00FA3FF0">
        <w:rPr>
          <w:rFonts w:ascii="Times New Roman" w:hAnsi="Times New Roman"/>
          <w:i/>
          <w:szCs w:val="24"/>
        </w:rPr>
        <w:t>State of the Forest, 2018</w:t>
      </w:r>
      <w:r w:rsidRPr="00043019">
        <w:rPr>
          <w:rFonts w:ascii="Times New Roman" w:hAnsi="Times New Roman"/>
          <w:szCs w:val="24"/>
        </w:rPr>
        <w:t xml:space="preserve">, </w:t>
      </w:r>
      <w:r w:rsidR="00FA3FF0">
        <w:rPr>
          <w:rFonts w:ascii="Times New Roman" w:hAnsi="Times New Roman"/>
          <w:szCs w:val="24"/>
        </w:rPr>
        <w:t xml:space="preserve">an average of more than 16,000 acres of forestland has been converted to non-forest uses annually, a trend that is projected to continue. </w:t>
      </w:r>
      <w:r w:rsidRPr="00043019">
        <w:rPr>
          <w:rFonts w:ascii="Times New Roman" w:hAnsi="Times New Roman"/>
          <w:szCs w:val="24"/>
        </w:rPr>
        <w:t>Water quality is greatly impacted by land use.  Specifically, high quality waters are most commonly associated with forested areas.  Forested ecosystems act as natural filters, absorbing nutrients and other pollutants that would otherwise be washed into nearby waterbodies.  Water quality can be protected in developed areas by creating vegetated buffer zones and m</w:t>
      </w:r>
      <w:r w:rsidR="00634193" w:rsidRPr="00043019">
        <w:rPr>
          <w:rFonts w:ascii="Times New Roman" w:hAnsi="Times New Roman"/>
          <w:szCs w:val="24"/>
        </w:rPr>
        <w:t>aintaining sewer infrastructure.</w:t>
      </w:r>
    </w:p>
    <w:p w14:paraId="317F7D61" w14:textId="77777777" w:rsidR="00634193" w:rsidRPr="00043019" w:rsidRDefault="00634193">
      <w:pPr>
        <w:widowControl/>
        <w:spacing w:after="200" w:line="276" w:lineRule="auto"/>
        <w:rPr>
          <w:rFonts w:ascii="Times New Roman" w:hAnsi="Times New Roman"/>
          <w:szCs w:val="24"/>
        </w:rPr>
      </w:pPr>
    </w:p>
    <w:tbl>
      <w:tblPr>
        <w:tblStyle w:val="TableGrid"/>
        <w:tblW w:w="0" w:type="auto"/>
        <w:tblLook w:val="0420" w:firstRow="1" w:lastRow="0" w:firstColumn="0" w:lastColumn="0" w:noHBand="0" w:noVBand="1"/>
        <w:tblCaption w:val="Virginia Statewide Land Use Summary"/>
        <w:tblDescription w:val="Virginia Statewide Land Use Summary"/>
      </w:tblPr>
      <w:tblGrid>
        <w:gridCol w:w="3132"/>
        <w:gridCol w:w="3110"/>
        <w:gridCol w:w="3108"/>
      </w:tblGrid>
      <w:tr w:rsidR="00840A6C" w:rsidRPr="00043019" w14:paraId="415F4C3C" w14:textId="77777777" w:rsidTr="00D4148E">
        <w:trPr>
          <w:tblHeader/>
        </w:trPr>
        <w:tc>
          <w:tcPr>
            <w:tcW w:w="9576" w:type="dxa"/>
            <w:gridSpan w:val="3"/>
            <w:tcBorders>
              <w:bottom w:val="single" w:sz="4" w:space="0" w:color="auto"/>
            </w:tcBorders>
          </w:tcPr>
          <w:p w14:paraId="02F9B9F3" w14:textId="77777777" w:rsidR="00840A6C" w:rsidRPr="00043019" w:rsidRDefault="00840A6C" w:rsidP="000B0018">
            <w:pPr>
              <w:pStyle w:val="Heading1"/>
              <w:outlineLvl w:val="0"/>
              <w:rPr>
                <w:rFonts w:ascii="Times New Roman" w:hAnsi="Times New Roman"/>
                <w:sz w:val="24"/>
                <w:szCs w:val="24"/>
              </w:rPr>
            </w:pPr>
            <w:r w:rsidRPr="00043019">
              <w:rPr>
                <w:rFonts w:ascii="Times New Roman" w:hAnsi="Times New Roman"/>
                <w:sz w:val="24"/>
                <w:szCs w:val="24"/>
              </w:rPr>
              <w:t>Table 2-2   Virginia Statewide Land Use Summary</w:t>
            </w:r>
          </w:p>
        </w:tc>
      </w:tr>
      <w:tr w:rsidR="000702E9" w:rsidRPr="00043019" w14:paraId="27DD3078" w14:textId="77777777" w:rsidTr="00D4148E">
        <w:tc>
          <w:tcPr>
            <w:tcW w:w="3192" w:type="dxa"/>
            <w:tcBorders>
              <w:bottom w:val="nil"/>
              <w:right w:val="nil"/>
            </w:tcBorders>
          </w:tcPr>
          <w:p w14:paraId="7FFC7309" w14:textId="5D68FB32" w:rsidR="000702E9" w:rsidRPr="00043019" w:rsidRDefault="00FA3FF0" w:rsidP="002B7A58">
            <w:pPr>
              <w:spacing w:after="58"/>
              <w:jc w:val="both"/>
              <w:rPr>
                <w:rFonts w:ascii="Times New Roman" w:hAnsi="Times New Roman"/>
                <w:szCs w:val="24"/>
              </w:rPr>
            </w:pPr>
            <w:r>
              <w:rPr>
                <w:rFonts w:ascii="Times New Roman" w:hAnsi="Times New Roman"/>
                <w:szCs w:val="24"/>
              </w:rPr>
              <w:t>Privately Owned</w:t>
            </w:r>
            <w:r w:rsidR="000702E9" w:rsidRPr="00043019">
              <w:rPr>
                <w:rFonts w:ascii="Times New Roman" w:hAnsi="Times New Roman"/>
                <w:szCs w:val="24"/>
              </w:rPr>
              <w:t xml:space="preserve"> Forests</w:t>
            </w:r>
          </w:p>
        </w:tc>
        <w:tc>
          <w:tcPr>
            <w:tcW w:w="3192" w:type="dxa"/>
            <w:tcBorders>
              <w:left w:val="nil"/>
              <w:bottom w:val="nil"/>
              <w:right w:val="nil"/>
            </w:tcBorders>
          </w:tcPr>
          <w:p w14:paraId="12D61DED" w14:textId="55AE602A" w:rsidR="000702E9" w:rsidRPr="00043019" w:rsidRDefault="00C75803" w:rsidP="000702E9">
            <w:pPr>
              <w:spacing w:after="58"/>
              <w:jc w:val="right"/>
              <w:rPr>
                <w:rFonts w:ascii="Times New Roman" w:hAnsi="Times New Roman"/>
                <w:szCs w:val="24"/>
              </w:rPr>
            </w:pPr>
            <w:r>
              <w:rPr>
                <w:rFonts w:ascii="Times New Roman" w:hAnsi="Times New Roman"/>
                <w:szCs w:val="24"/>
              </w:rPr>
              <w:t>20,312</w:t>
            </w:r>
            <w:r w:rsidR="000702E9" w:rsidRPr="00043019">
              <w:rPr>
                <w:rFonts w:ascii="Times New Roman" w:hAnsi="Times New Roman"/>
                <w:szCs w:val="24"/>
              </w:rPr>
              <w:t xml:space="preserve"> mi</w:t>
            </w:r>
            <w:r w:rsidR="000702E9" w:rsidRPr="00043019">
              <w:rPr>
                <w:rFonts w:ascii="Times New Roman" w:hAnsi="Times New Roman"/>
                <w:szCs w:val="24"/>
                <w:vertAlign w:val="superscript"/>
              </w:rPr>
              <w:t>2</w:t>
            </w:r>
          </w:p>
        </w:tc>
        <w:tc>
          <w:tcPr>
            <w:tcW w:w="3192" w:type="dxa"/>
            <w:tcBorders>
              <w:left w:val="nil"/>
              <w:bottom w:val="nil"/>
            </w:tcBorders>
          </w:tcPr>
          <w:p w14:paraId="3B46D81A" w14:textId="780153A3" w:rsidR="000702E9" w:rsidRPr="00043019" w:rsidRDefault="00C75803" w:rsidP="002B7A58">
            <w:pPr>
              <w:spacing w:after="58"/>
              <w:jc w:val="both"/>
              <w:rPr>
                <w:rFonts w:ascii="Times New Roman" w:hAnsi="Times New Roman"/>
                <w:szCs w:val="24"/>
              </w:rPr>
            </w:pPr>
            <w:r>
              <w:rPr>
                <w:rFonts w:ascii="Times New Roman" w:hAnsi="Times New Roman"/>
                <w:szCs w:val="24"/>
              </w:rPr>
              <w:t>80</w:t>
            </w:r>
            <w:r w:rsidR="000702E9" w:rsidRPr="00043019">
              <w:rPr>
                <w:rFonts w:ascii="Times New Roman" w:hAnsi="Times New Roman"/>
                <w:szCs w:val="24"/>
              </w:rPr>
              <w:t>%</w:t>
            </w:r>
          </w:p>
        </w:tc>
      </w:tr>
      <w:tr w:rsidR="000702E9" w:rsidRPr="00043019" w14:paraId="37A60189" w14:textId="77777777" w:rsidTr="00D4148E">
        <w:tc>
          <w:tcPr>
            <w:tcW w:w="3192" w:type="dxa"/>
            <w:tcBorders>
              <w:top w:val="nil"/>
              <w:bottom w:val="nil"/>
              <w:right w:val="nil"/>
            </w:tcBorders>
          </w:tcPr>
          <w:p w14:paraId="7500224D" w14:textId="77777777" w:rsidR="000702E9" w:rsidRDefault="00C75803" w:rsidP="002B7A58">
            <w:pPr>
              <w:spacing w:after="58"/>
              <w:jc w:val="both"/>
              <w:rPr>
                <w:rFonts w:ascii="Times New Roman" w:hAnsi="Times New Roman"/>
                <w:szCs w:val="24"/>
              </w:rPr>
            </w:pPr>
            <w:r>
              <w:rPr>
                <w:rFonts w:ascii="Times New Roman" w:hAnsi="Times New Roman"/>
                <w:szCs w:val="24"/>
              </w:rPr>
              <w:t>Publicly Owned Forests</w:t>
            </w:r>
          </w:p>
          <w:p w14:paraId="6B9928F5" w14:textId="47B7B9DB" w:rsidR="00C75803" w:rsidRPr="00043019" w:rsidRDefault="00C75803" w:rsidP="002B7A58">
            <w:pPr>
              <w:spacing w:after="58"/>
              <w:jc w:val="both"/>
              <w:rPr>
                <w:rFonts w:ascii="Times New Roman" w:hAnsi="Times New Roman"/>
                <w:szCs w:val="24"/>
              </w:rPr>
            </w:pPr>
            <w:r>
              <w:rPr>
                <w:rFonts w:ascii="Times New Roman" w:hAnsi="Times New Roman"/>
                <w:szCs w:val="24"/>
              </w:rPr>
              <w:t>Forest Product Firms</w:t>
            </w:r>
          </w:p>
        </w:tc>
        <w:tc>
          <w:tcPr>
            <w:tcW w:w="3192" w:type="dxa"/>
            <w:tcBorders>
              <w:top w:val="nil"/>
              <w:left w:val="nil"/>
              <w:bottom w:val="nil"/>
              <w:right w:val="nil"/>
            </w:tcBorders>
          </w:tcPr>
          <w:p w14:paraId="0E621A06" w14:textId="0AB51199" w:rsidR="000702E9" w:rsidRDefault="00C75803" w:rsidP="00C75803">
            <w:pPr>
              <w:spacing w:after="58"/>
              <w:jc w:val="right"/>
              <w:rPr>
                <w:rFonts w:ascii="Times New Roman" w:hAnsi="Times New Roman"/>
                <w:szCs w:val="24"/>
                <w:vertAlign w:val="superscript"/>
              </w:rPr>
            </w:pPr>
            <w:r>
              <w:rPr>
                <w:rFonts w:ascii="Times New Roman" w:hAnsi="Times New Roman"/>
                <w:szCs w:val="24"/>
              </w:rPr>
              <w:t>4,657</w:t>
            </w:r>
            <w:r w:rsidR="000702E9" w:rsidRPr="00043019">
              <w:rPr>
                <w:rFonts w:ascii="Times New Roman" w:hAnsi="Times New Roman"/>
                <w:szCs w:val="24"/>
              </w:rPr>
              <w:t xml:space="preserve"> mi</w:t>
            </w:r>
            <w:r w:rsidR="000702E9" w:rsidRPr="00043019">
              <w:rPr>
                <w:rFonts w:ascii="Times New Roman" w:hAnsi="Times New Roman"/>
                <w:szCs w:val="24"/>
                <w:vertAlign w:val="superscript"/>
              </w:rPr>
              <w:t>2</w:t>
            </w:r>
          </w:p>
          <w:p w14:paraId="5F70DD0B" w14:textId="1BD6A690" w:rsidR="00C75803" w:rsidRPr="00C75803" w:rsidRDefault="00C75803" w:rsidP="00C75803">
            <w:pPr>
              <w:spacing w:after="58"/>
              <w:jc w:val="right"/>
              <w:rPr>
                <w:rFonts w:ascii="Times New Roman" w:hAnsi="Times New Roman"/>
                <w:szCs w:val="24"/>
              </w:rPr>
            </w:pPr>
            <w:r w:rsidRPr="00C75803">
              <w:rPr>
                <w:rFonts w:ascii="Times New Roman" w:hAnsi="Times New Roman"/>
                <w:szCs w:val="24"/>
              </w:rPr>
              <w:t>286 mi</w:t>
            </w:r>
            <w:r>
              <w:rPr>
                <w:rFonts w:ascii="Times New Roman" w:hAnsi="Times New Roman"/>
                <w:szCs w:val="24"/>
                <w:vertAlign w:val="superscript"/>
              </w:rPr>
              <w:t>2</w:t>
            </w:r>
          </w:p>
          <w:p w14:paraId="6DC53623" w14:textId="6B3DEBBF" w:rsidR="00C75803" w:rsidRPr="00043019" w:rsidRDefault="00C75803" w:rsidP="00C75803">
            <w:pPr>
              <w:spacing w:after="58"/>
              <w:rPr>
                <w:rFonts w:ascii="Times New Roman" w:hAnsi="Times New Roman"/>
                <w:szCs w:val="24"/>
              </w:rPr>
            </w:pPr>
          </w:p>
        </w:tc>
        <w:tc>
          <w:tcPr>
            <w:tcW w:w="3192" w:type="dxa"/>
            <w:tcBorders>
              <w:top w:val="nil"/>
              <w:left w:val="nil"/>
              <w:bottom w:val="nil"/>
            </w:tcBorders>
          </w:tcPr>
          <w:p w14:paraId="6EDEE8B8" w14:textId="77777777" w:rsidR="000702E9" w:rsidRDefault="00C75803" w:rsidP="002B7A58">
            <w:pPr>
              <w:spacing w:after="58"/>
              <w:jc w:val="both"/>
              <w:rPr>
                <w:rFonts w:ascii="Times New Roman" w:hAnsi="Times New Roman"/>
                <w:szCs w:val="24"/>
              </w:rPr>
            </w:pPr>
            <w:r>
              <w:rPr>
                <w:rFonts w:ascii="Times New Roman" w:hAnsi="Times New Roman"/>
                <w:szCs w:val="24"/>
              </w:rPr>
              <w:t>18</w:t>
            </w:r>
            <w:r w:rsidR="000702E9" w:rsidRPr="00043019">
              <w:rPr>
                <w:rFonts w:ascii="Times New Roman" w:hAnsi="Times New Roman"/>
                <w:szCs w:val="24"/>
              </w:rPr>
              <w:t>%</w:t>
            </w:r>
          </w:p>
          <w:p w14:paraId="41BAD5B9" w14:textId="1EDA028A" w:rsidR="00C75803" w:rsidRPr="00043019" w:rsidRDefault="00C75803" w:rsidP="00C75803">
            <w:pPr>
              <w:spacing w:after="58"/>
              <w:rPr>
                <w:rFonts w:ascii="Times New Roman" w:hAnsi="Times New Roman"/>
                <w:szCs w:val="24"/>
              </w:rPr>
            </w:pPr>
            <w:r>
              <w:rPr>
                <w:rFonts w:ascii="Times New Roman" w:hAnsi="Times New Roman"/>
                <w:szCs w:val="24"/>
              </w:rPr>
              <w:t>2%</w:t>
            </w:r>
          </w:p>
        </w:tc>
      </w:tr>
      <w:tr w:rsidR="000702E9" w:rsidRPr="00043019" w14:paraId="2937367D" w14:textId="77777777" w:rsidTr="00D4148E">
        <w:tc>
          <w:tcPr>
            <w:tcW w:w="3192" w:type="dxa"/>
            <w:tcBorders>
              <w:top w:val="nil"/>
              <w:bottom w:val="single" w:sz="12" w:space="0" w:color="auto"/>
              <w:right w:val="nil"/>
            </w:tcBorders>
            <w:shd w:val="pct15" w:color="auto" w:fill="auto"/>
          </w:tcPr>
          <w:p w14:paraId="038D292B" w14:textId="77777777" w:rsidR="000702E9" w:rsidRPr="00043019" w:rsidRDefault="000702E9" w:rsidP="002B7A58">
            <w:pPr>
              <w:spacing w:after="58"/>
              <w:jc w:val="both"/>
              <w:rPr>
                <w:rFonts w:ascii="Times New Roman" w:hAnsi="Times New Roman"/>
                <w:szCs w:val="24"/>
              </w:rPr>
            </w:pPr>
            <w:r w:rsidRPr="00043019">
              <w:rPr>
                <w:rFonts w:ascii="Times New Roman" w:hAnsi="Times New Roman"/>
                <w:b/>
                <w:szCs w:val="24"/>
              </w:rPr>
              <w:t>Total Forested Land</w:t>
            </w:r>
            <w:r w:rsidRPr="00043019">
              <w:rPr>
                <w:rFonts w:ascii="Times New Roman" w:hAnsi="Times New Roman"/>
                <w:b/>
                <w:szCs w:val="24"/>
                <w:vertAlign w:val="superscript"/>
              </w:rPr>
              <w:t>1</w:t>
            </w:r>
          </w:p>
        </w:tc>
        <w:tc>
          <w:tcPr>
            <w:tcW w:w="3192" w:type="dxa"/>
            <w:tcBorders>
              <w:top w:val="nil"/>
              <w:left w:val="nil"/>
              <w:bottom w:val="single" w:sz="12" w:space="0" w:color="auto"/>
              <w:right w:val="nil"/>
            </w:tcBorders>
            <w:shd w:val="pct15" w:color="auto" w:fill="auto"/>
          </w:tcPr>
          <w:p w14:paraId="5971096C" w14:textId="3564B2D7" w:rsidR="000702E9" w:rsidRPr="00043019" w:rsidRDefault="00FA3FF0" w:rsidP="00D4148E">
            <w:pPr>
              <w:spacing w:after="58"/>
              <w:jc w:val="right"/>
              <w:rPr>
                <w:rFonts w:ascii="Times New Roman" w:hAnsi="Times New Roman"/>
                <w:szCs w:val="24"/>
              </w:rPr>
            </w:pPr>
            <w:r>
              <w:rPr>
                <w:rFonts w:ascii="Times New Roman" w:hAnsi="Times New Roman"/>
                <w:b/>
                <w:szCs w:val="24"/>
              </w:rPr>
              <w:t>25,319</w:t>
            </w:r>
            <w:r w:rsidR="000702E9" w:rsidRPr="00043019">
              <w:rPr>
                <w:rFonts w:ascii="Times New Roman" w:hAnsi="Times New Roman"/>
                <w:b/>
                <w:szCs w:val="24"/>
              </w:rPr>
              <w:t xml:space="preserve"> mi</w:t>
            </w:r>
            <w:r w:rsidR="000702E9" w:rsidRPr="00043019">
              <w:rPr>
                <w:rFonts w:ascii="Times New Roman" w:hAnsi="Times New Roman"/>
                <w:b/>
                <w:szCs w:val="24"/>
                <w:vertAlign w:val="superscript"/>
              </w:rPr>
              <w:t>2</w:t>
            </w:r>
          </w:p>
        </w:tc>
        <w:tc>
          <w:tcPr>
            <w:tcW w:w="3192" w:type="dxa"/>
            <w:tcBorders>
              <w:top w:val="nil"/>
              <w:left w:val="nil"/>
              <w:bottom w:val="single" w:sz="12" w:space="0" w:color="auto"/>
            </w:tcBorders>
            <w:shd w:val="pct15" w:color="auto" w:fill="auto"/>
          </w:tcPr>
          <w:p w14:paraId="608353EB" w14:textId="1DD25B5D" w:rsidR="000702E9" w:rsidRPr="00043019" w:rsidRDefault="00FA3FF0" w:rsidP="002B7A58">
            <w:pPr>
              <w:spacing w:after="58"/>
              <w:jc w:val="both"/>
              <w:rPr>
                <w:rFonts w:ascii="Times New Roman" w:hAnsi="Times New Roman"/>
                <w:szCs w:val="24"/>
              </w:rPr>
            </w:pPr>
            <w:r>
              <w:rPr>
                <w:rFonts w:ascii="Times New Roman" w:hAnsi="Times New Roman"/>
                <w:b/>
                <w:szCs w:val="24"/>
              </w:rPr>
              <w:t>59</w:t>
            </w:r>
            <w:r w:rsidR="000702E9" w:rsidRPr="00043019">
              <w:rPr>
                <w:rFonts w:ascii="Times New Roman" w:hAnsi="Times New Roman"/>
                <w:b/>
                <w:szCs w:val="24"/>
              </w:rPr>
              <w:t>%</w:t>
            </w:r>
          </w:p>
        </w:tc>
      </w:tr>
      <w:tr w:rsidR="000702E9" w:rsidRPr="00043019" w14:paraId="1753934D" w14:textId="77777777" w:rsidTr="00D4148E">
        <w:tc>
          <w:tcPr>
            <w:tcW w:w="3192" w:type="dxa"/>
            <w:tcBorders>
              <w:top w:val="single" w:sz="12" w:space="0" w:color="auto"/>
              <w:bottom w:val="nil"/>
              <w:right w:val="nil"/>
            </w:tcBorders>
            <w:shd w:val="clear" w:color="auto" w:fill="auto"/>
          </w:tcPr>
          <w:p w14:paraId="46322443" w14:textId="77777777" w:rsidR="000702E9" w:rsidRPr="00043019" w:rsidRDefault="000702E9" w:rsidP="002B7A58">
            <w:pPr>
              <w:spacing w:after="58"/>
              <w:jc w:val="both"/>
              <w:rPr>
                <w:rFonts w:ascii="Times New Roman" w:hAnsi="Times New Roman"/>
                <w:b/>
                <w:szCs w:val="24"/>
              </w:rPr>
            </w:pPr>
          </w:p>
        </w:tc>
        <w:tc>
          <w:tcPr>
            <w:tcW w:w="3192" w:type="dxa"/>
            <w:tcBorders>
              <w:top w:val="single" w:sz="12" w:space="0" w:color="auto"/>
              <w:left w:val="nil"/>
              <w:bottom w:val="nil"/>
              <w:right w:val="nil"/>
            </w:tcBorders>
            <w:shd w:val="clear" w:color="auto" w:fill="auto"/>
          </w:tcPr>
          <w:p w14:paraId="0CA609CA" w14:textId="77777777" w:rsidR="000702E9" w:rsidRPr="00043019" w:rsidRDefault="000702E9" w:rsidP="000702E9">
            <w:pPr>
              <w:spacing w:after="58"/>
              <w:jc w:val="right"/>
              <w:rPr>
                <w:rFonts w:ascii="Times New Roman" w:hAnsi="Times New Roman"/>
                <w:b/>
                <w:szCs w:val="24"/>
              </w:rPr>
            </w:pPr>
          </w:p>
        </w:tc>
        <w:tc>
          <w:tcPr>
            <w:tcW w:w="3192" w:type="dxa"/>
            <w:tcBorders>
              <w:top w:val="single" w:sz="12" w:space="0" w:color="auto"/>
              <w:left w:val="nil"/>
              <w:bottom w:val="nil"/>
            </w:tcBorders>
            <w:shd w:val="clear" w:color="auto" w:fill="auto"/>
          </w:tcPr>
          <w:p w14:paraId="58D24FFD" w14:textId="77777777" w:rsidR="000702E9" w:rsidRPr="00043019" w:rsidRDefault="000702E9" w:rsidP="002B7A58">
            <w:pPr>
              <w:spacing w:after="58"/>
              <w:jc w:val="both"/>
              <w:rPr>
                <w:rFonts w:ascii="Times New Roman" w:hAnsi="Times New Roman"/>
                <w:b/>
                <w:szCs w:val="24"/>
              </w:rPr>
            </w:pPr>
          </w:p>
        </w:tc>
      </w:tr>
      <w:tr w:rsidR="00C972C1" w:rsidRPr="00043019" w14:paraId="55A5C8C7" w14:textId="77777777" w:rsidTr="00D4148E">
        <w:tc>
          <w:tcPr>
            <w:tcW w:w="3192" w:type="dxa"/>
            <w:tcBorders>
              <w:top w:val="nil"/>
              <w:bottom w:val="nil"/>
              <w:right w:val="nil"/>
            </w:tcBorders>
            <w:shd w:val="clear" w:color="auto" w:fill="auto"/>
          </w:tcPr>
          <w:p w14:paraId="7C46A425" w14:textId="77777777" w:rsidR="00C972C1" w:rsidRPr="00043019" w:rsidRDefault="00C972C1" w:rsidP="002B7A58">
            <w:pPr>
              <w:spacing w:after="58"/>
              <w:jc w:val="both"/>
              <w:rPr>
                <w:rFonts w:ascii="Times New Roman" w:hAnsi="Times New Roman"/>
                <w:szCs w:val="24"/>
              </w:rPr>
            </w:pPr>
            <w:r w:rsidRPr="00043019">
              <w:rPr>
                <w:rFonts w:ascii="Times New Roman" w:hAnsi="Times New Roman"/>
                <w:szCs w:val="24"/>
              </w:rPr>
              <w:t>Harvested Cropland</w:t>
            </w:r>
          </w:p>
        </w:tc>
        <w:tc>
          <w:tcPr>
            <w:tcW w:w="3192" w:type="dxa"/>
            <w:tcBorders>
              <w:top w:val="nil"/>
              <w:left w:val="nil"/>
              <w:bottom w:val="nil"/>
              <w:right w:val="nil"/>
            </w:tcBorders>
            <w:shd w:val="clear" w:color="auto" w:fill="auto"/>
          </w:tcPr>
          <w:p w14:paraId="3D1421F8" w14:textId="0AA76DFB" w:rsidR="00C972C1" w:rsidRPr="00043019" w:rsidRDefault="004636B9" w:rsidP="00D75A8D">
            <w:pPr>
              <w:spacing w:after="58"/>
              <w:jc w:val="right"/>
              <w:rPr>
                <w:rFonts w:ascii="Times New Roman" w:hAnsi="Times New Roman"/>
                <w:b/>
                <w:szCs w:val="24"/>
              </w:rPr>
            </w:pPr>
            <w:r w:rsidRPr="00043019">
              <w:rPr>
                <w:rFonts w:ascii="Times New Roman" w:hAnsi="Times New Roman"/>
                <w:szCs w:val="24"/>
              </w:rPr>
              <w:t>4,</w:t>
            </w:r>
            <w:r w:rsidR="00D75A8D">
              <w:rPr>
                <w:rFonts w:ascii="Times New Roman" w:hAnsi="Times New Roman"/>
                <w:szCs w:val="24"/>
              </w:rPr>
              <w:t>083</w:t>
            </w:r>
            <w:r w:rsidR="00C972C1" w:rsidRPr="00043019">
              <w:rPr>
                <w:rFonts w:ascii="Times New Roman" w:hAnsi="Times New Roman"/>
                <w:szCs w:val="24"/>
              </w:rPr>
              <w:t xml:space="preserve"> mi</w:t>
            </w:r>
            <w:r w:rsidR="00C972C1" w:rsidRPr="00043019">
              <w:rPr>
                <w:rFonts w:ascii="Times New Roman" w:hAnsi="Times New Roman"/>
                <w:szCs w:val="24"/>
                <w:vertAlign w:val="superscript"/>
              </w:rPr>
              <w:t>2</w:t>
            </w:r>
          </w:p>
        </w:tc>
        <w:tc>
          <w:tcPr>
            <w:tcW w:w="3192" w:type="dxa"/>
            <w:tcBorders>
              <w:top w:val="nil"/>
              <w:left w:val="nil"/>
              <w:bottom w:val="nil"/>
            </w:tcBorders>
            <w:shd w:val="clear" w:color="auto" w:fill="auto"/>
          </w:tcPr>
          <w:p w14:paraId="4867EAC1" w14:textId="6525C63A" w:rsidR="00C972C1" w:rsidRPr="00A563A8" w:rsidRDefault="00C972C1" w:rsidP="00A563A8">
            <w:pPr>
              <w:spacing w:after="58"/>
              <w:jc w:val="both"/>
              <w:rPr>
                <w:rFonts w:ascii="Times New Roman" w:hAnsi="Times New Roman"/>
                <w:b/>
                <w:szCs w:val="24"/>
              </w:rPr>
            </w:pPr>
            <w:r w:rsidRPr="00A563A8">
              <w:rPr>
                <w:rFonts w:ascii="Times New Roman" w:hAnsi="Times New Roman"/>
                <w:szCs w:val="24"/>
              </w:rPr>
              <w:t>3</w:t>
            </w:r>
            <w:r w:rsidR="00A563A8" w:rsidRPr="00A563A8">
              <w:rPr>
                <w:rFonts w:ascii="Times New Roman" w:hAnsi="Times New Roman"/>
                <w:szCs w:val="24"/>
              </w:rPr>
              <w:t>4</w:t>
            </w:r>
            <w:r w:rsidRPr="00A563A8">
              <w:rPr>
                <w:rFonts w:ascii="Times New Roman" w:hAnsi="Times New Roman"/>
                <w:szCs w:val="24"/>
              </w:rPr>
              <w:t>%</w:t>
            </w:r>
          </w:p>
        </w:tc>
      </w:tr>
      <w:tr w:rsidR="00C972C1" w:rsidRPr="00043019" w14:paraId="47D544A7" w14:textId="77777777" w:rsidTr="00D4148E">
        <w:tc>
          <w:tcPr>
            <w:tcW w:w="3192" w:type="dxa"/>
            <w:tcBorders>
              <w:top w:val="nil"/>
              <w:bottom w:val="nil"/>
              <w:right w:val="nil"/>
            </w:tcBorders>
            <w:shd w:val="clear" w:color="auto" w:fill="auto"/>
          </w:tcPr>
          <w:p w14:paraId="5EEA21DD" w14:textId="77777777" w:rsidR="00C972C1" w:rsidRPr="00043019" w:rsidRDefault="00C972C1" w:rsidP="002B7A58">
            <w:pPr>
              <w:spacing w:after="58"/>
              <w:jc w:val="both"/>
              <w:rPr>
                <w:rFonts w:ascii="Times New Roman" w:hAnsi="Times New Roman"/>
                <w:szCs w:val="24"/>
              </w:rPr>
            </w:pPr>
            <w:r w:rsidRPr="00043019">
              <w:rPr>
                <w:rFonts w:ascii="Times New Roman" w:hAnsi="Times New Roman"/>
                <w:szCs w:val="24"/>
              </w:rPr>
              <w:t>Other</w:t>
            </w:r>
            <w:r w:rsidRPr="00043019">
              <w:rPr>
                <w:rFonts w:ascii="Times New Roman" w:hAnsi="Times New Roman"/>
                <w:szCs w:val="24"/>
              </w:rPr>
              <w:tab/>
            </w:r>
          </w:p>
        </w:tc>
        <w:tc>
          <w:tcPr>
            <w:tcW w:w="3192" w:type="dxa"/>
            <w:tcBorders>
              <w:top w:val="nil"/>
              <w:left w:val="nil"/>
              <w:bottom w:val="nil"/>
              <w:right w:val="nil"/>
            </w:tcBorders>
            <w:shd w:val="clear" w:color="auto" w:fill="auto"/>
          </w:tcPr>
          <w:p w14:paraId="572210C6" w14:textId="592C4B20" w:rsidR="00C972C1" w:rsidRPr="00043019" w:rsidRDefault="002A5755" w:rsidP="000702E9">
            <w:pPr>
              <w:spacing w:after="58"/>
              <w:jc w:val="right"/>
              <w:rPr>
                <w:rFonts w:ascii="Times New Roman" w:hAnsi="Times New Roman"/>
                <w:szCs w:val="24"/>
              </w:rPr>
            </w:pPr>
            <w:r>
              <w:rPr>
                <w:rFonts w:ascii="Times New Roman" w:hAnsi="Times New Roman"/>
                <w:szCs w:val="24"/>
              </w:rPr>
              <w:t>8,10</w:t>
            </w:r>
            <w:r w:rsidR="004636B9" w:rsidRPr="00043019">
              <w:rPr>
                <w:rFonts w:ascii="Times New Roman" w:hAnsi="Times New Roman"/>
                <w:szCs w:val="24"/>
              </w:rPr>
              <w:t>1</w:t>
            </w:r>
            <w:r w:rsidR="00C972C1" w:rsidRPr="00043019">
              <w:rPr>
                <w:rFonts w:ascii="Times New Roman" w:hAnsi="Times New Roman"/>
                <w:szCs w:val="24"/>
              </w:rPr>
              <w:t xml:space="preserve"> mi</w:t>
            </w:r>
            <w:r w:rsidR="00C972C1" w:rsidRPr="00043019">
              <w:rPr>
                <w:rFonts w:ascii="Times New Roman" w:hAnsi="Times New Roman"/>
                <w:szCs w:val="24"/>
                <w:vertAlign w:val="superscript"/>
              </w:rPr>
              <w:t>2</w:t>
            </w:r>
          </w:p>
        </w:tc>
        <w:tc>
          <w:tcPr>
            <w:tcW w:w="3192" w:type="dxa"/>
            <w:tcBorders>
              <w:top w:val="nil"/>
              <w:left w:val="nil"/>
              <w:bottom w:val="nil"/>
            </w:tcBorders>
            <w:shd w:val="clear" w:color="auto" w:fill="auto"/>
          </w:tcPr>
          <w:p w14:paraId="50EA4E93" w14:textId="77777777" w:rsidR="00C972C1" w:rsidRPr="00043019" w:rsidRDefault="00C972C1" w:rsidP="002B7A58">
            <w:pPr>
              <w:spacing w:after="58"/>
              <w:jc w:val="both"/>
              <w:rPr>
                <w:rFonts w:ascii="Times New Roman" w:hAnsi="Times New Roman"/>
                <w:szCs w:val="24"/>
              </w:rPr>
            </w:pPr>
            <w:r w:rsidRPr="00043019">
              <w:rPr>
                <w:rFonts w:ascii="Times New Roman" w:hAnsi="Times New Roman"/>
                <w:szCs w:val="24"/>
              </w:rPr>
              <w:t>66%</w:t>
            </w:r>
          </w:p>
        </w:tc>
      </w:tr>
      <w:tr w:rsidR="00C972C1" w:rsidRPr="00043019" w14:paraId="07D6F15E" w14:textId="77777777" w:rsidTr="00D4148E">
        <w:tc>
          <w:tcPr>
            <w:tcW w:w="3192" w:type="dxa"/>
            <w:tcBorders>
              <w:top w:val="nil"/>
              <w:bottom w:val="nil"/>
              <w:right w:val="nil"/>
            </w:tcBorders>
            <w:shd w:val="clear" w:color="auto" w:fill="auto"/>
          </w:tcPr>
          <w:p w14:paraId="5BB7A00B" w14:textId="77777777" w:rsidR="00C972C1" w:rsidRPr="00043019" w:rsidRDefault="00C972C1" w:rsidP="002B7A58">
            <w:pPr>
              <w:spacing w:after="58"/>
              <w:jc w:val="both"/>
              <w:rPr>
                <w:rFonts w:ascii="Times New Roman" w:hAnsi="Times New Roman"/>
                <w:szCs w:val="24"/>
              </w:rPr>
            </w:pPr>
          </w:p>
        </w:tc>
        <w:tc>
          <w:tcPr>
            <w:tcW w:w="3192" w:type="dxa"/>
            <w:tcBorders>
              <w:top w:val="nil"/>
              <w:left w:val="nil"/>
              <w:bottom w:val="nil"/>
              <w:right w:val="nil"/>
            </w:tcBorders>
            <w:shd w:val="clear" w:color="auto" w:fill="auto"/>
          </w:tcPr>
          <w:p w14:paraId="2E83BCFC" w14:textId="77777777" w:rsidR="00C972C1" w:rsidRPr="00043019" w:rsidRDefault="00C972C1" w:rsidP="000702E9">
            <w:pPr>
              <w:spacing w:after="58"/>
              <w:jc w:val="right"/>
              <w:rPr>
                <w:rFonts w:ascii="Times New Roman" w:hAnsi="Times New Roman"/>
                <w:szCs w:val="24"/>
              </w:rPr>
            </w:pPr>
          </w:p>
        </w:tc>
        <w:tc>
          <w:tcPr>
            <w:tcW w:w="3192" w:type="dxa"/>
            <w:tcBorders>
              <w:top w:val="nil"/>
              <w:left w:val="nil"/>
              <w:bottom w:val="nil"/>
            </w:tcBorders>
            <w:shd w:val="clear" w:color="auto" w:fill="auto"/>
          </w:tcPr>
          <w:p w14:paraId="0EF5D41C" w14:textId="77777777" w:rsidR="00C972C1" w:rsidRPr="00043019" w:rsidRDefault="00C972C1" w:rsidP="002B7A58">
            <w:pPr>
              <w:spacing w:after="58"/>
              <w:jc w:val="both"/>
              <w:rPr>
                <w:rFonts w:ascii="Times New Roman" w:hAnsi="Times New Roman"/>
                <w:szCs w:val="24"/>
              </w:rPr>
            </w:pPr>
          </w:p>
        </w:tc>
      </w:tr>
      <w:tr w:rsidR="00C972C1" w:rsidRPr="00043019" w14:paraId="4141803A" w14:textId="77777777" w:rsidTr="00D4148E">
        <w:tc>
          <w:tcPr>
            <w:tcW w:w="3192" w:type="dxa"/>
            <w:tcBorders>
              <w:top w:val="nil"/>
              <w:bottom w:val="single" w:sz="12" w:space="0" w:color="auto"/>
              <w:right w:val="nil"/>
            </w:tcBorders>
            <w:shd w:val="pct15" w:color="auto" w:fill="auto"/>
          </w:tcPr>
          <w:p w14:paraId="5BF669A8" w14:textId="77777777" w:rsidR="00C972C1" w:rsidRPr="00043019" w:rsidRDefault="00C972C1" w:rsidP="002B7A58">
            <w:pPr>
              <w:spacing w:after="58"/>
              <w:jc w:val="both"/>
              <w:rPr>
                <w:rFonts w:ascii="Times New Roman" w:hAnsi="Times New Roman"/>
                <w:szCs w:val="24"/>
              </w:rPr>
            </w:pPr>
            <w:r w:rsidRPr="00043019">
              <w:rPr>
                <w:rFonts w:ascii="Times New Roman" w:hAnsi="Times New Roman"/>
                <w:b/>
                <w:szCs w:val="24"/>
                <w:highlight w:val="lightGray"/>
              </w:rPr>
              <w:t>Total Agricultural Land</w:t>
            </w:r>
            <w:r w:rsidRPr="00043019">
              <w:rPr>
                <w:rFonts w:ascii="Times New Roman" w:hAnsi="Times New Roman"/>
                <w:b/>
                <w:szCs w:val="24"/>
                <w:highlight w:val="lightGray"/>
                <w:vertAlign w:val="superscript"/>
              </w:rPr>
              <w:t>2</w:t>
            </w:r>
          </w:p>
        </w:tc>
        <w:tc>
          <w:tcPr>
            <w:tcW w:w="3192" w:type="dxa"/>
            <w:tcBorders>
              <w:top w:val="nil"/>
              <w:left w:val="nil"/>
              <w:bottom w:val="single" w:sz="12" w:space="0" w:color="auto"/>
              <w:right w:val="nil"/>
            </w:tcBorders>
            <w:shd w:val="pct15" w:color="auto" w:fill="auto"/>
          </w:tcPr>
          <w:p w14:paraId="174028F3" w14:textId="40386089" w:rsidR="00C972C1" w:rsidRPr="00043019" w:rsidRDefault="00966A21" w:rsidP="00D75A8D">
            <w:pPr>
              <w:spacing w:after="58"/>
              <w:jc w:val="right"/>
              <w:rPr>
                <w:rFonts w:ascii="Times New Roman" w:hAnsi="Times New Roman"/>
                <w:szCs w:val="24"/>
              </w:rPr>
            </w:pPr>
            <w:r w:rsidRPr="00043019">
              <w:rPr>
                <w:rFonts w:ascii="Times New Roman" w:hAnsi="Times New Roman"/>
                <w:b/>
                <w:szCs w:val="24"/>
                <w:highlight w:val="lightGray"/>
              </w:rPr>
              <w:t>12,</w:t>
            </w:r>
            <w:r w:rsidR="00D75A8D">
              <w:rPr>
                <w:rFonts w:ascii="Times New Roman" w:hAnsi="Times New Roman"/>
                <w:b/>
                <w:szCs w:val="24"/>
                <w:highlight w:val="lightGray"/>
              </w:rPr>
              <w:t>184</w:t>
            </w:r>
            <w:r w:rsidR="00C972C1" w:rsidRPr="00043019">
              <w:rPr>
                <w:rFonts w:ascii="Times New Roman" w:hAnsi="Times New Roman"/>
                <w:szCs w:val="24"/>
                <w:highlight w:val="lightGray"/>
              </w:rPr>
              <w:t xml:space="preserve"> </w:t>
            </w:r>
            <w:r w:rsidR="00C972C1" w:rsidRPr="00043019">
              <w:rPr>
                <w:rFonts w:ascii="Times New Roman" w:hAnsi="Times New Roman"/>
                <w:b/>
                <w:szCs w:val="24"/>
                <w:highlight w:val="lightGray"/>
              </w:rPr>
              <w:t>mi</w:t>
            </w:r>
            <w:r w:rsidR="00C972C1" w:rsidRPr="00043019">
              <w:rPr>
                <w:rFonts w:ascii="Times New Roman" w:hAnsi="Times New Roman"/>
                <w:b/>
                <w:szCs w:val="24"/>
                <w:highlight w:val="lightGray"/>
                <w:vertAlign w:val="superscript"/>
              </w:rPr>
              <w:t>2</w:t>
            </w:r>
          </w:p>
        </w:tc>
        <w:tc>
          <w:tcPr>
            <w:tcW w:w="3192" w:type="dxa"/>
            <w:tcBorders>
              <w:top w:val="nil"/>
              <w:left w:val="nil"/>
              <w:bottom w:val="single" w:sz="12" w:space="0" w:color="auto"/>
            </w:tcBorders>
            <w:shd w:val="pct15" w:color="auto" w:fill="auto"/>
          </w:tcPr>
          <w:p w14:paraId="136FC0BB" w14:textId="10104067" w:rsidR="00C972C1" w:rsidRPr="00043019" w:rsidRDefault="00A563A8" w:rsidP="002B7A58">
            <w:pPr>
              <w:spacing w:after="58"/>
              <w:jc w:val="both"/>
              <w:rPr>
                <w:rFonts w:ascii="Times New Roman" w:hAnsi="Times New Roman"/>
                <w:szCs w:val="24"/>
              </w:rPr>
            </w:pPr>
            <w:r w:rsidRPr="00A563A8">
              <w:rPr>
                <w:rFonts w:ascii="Times New Roman" w:hAnsi="Times New Roman"/>
                <w:b/>
                <w:szCs w:val="24"/>
              </w:rPr>
              <w:t>28</w:t>
            </w:r>
            <w:r w:rsidR="00C972C1" w:rsidRPr="00A563A8">
              <w:rPr>
                <w:rFonts w:ascii="Times New Roman" w:hAnsi="Times New Roman"/>
                <w:b/>
                <w:szCs w:val="24"/>
              </w:rPr>
              <w:t>%</w:t>
            </w:r>
          </w:p>
        </w:tc>
      </w:tr>
      <w:tr w:rsidR="00C972C1" w:rsidRPr="00043019" w14:paraId="536E3B00" w14:textId="77777777" w:rsidTr="00D4148E">
        <w:tc>
          <w:tcPr>
            <w:tcW w:w="3192" w:type="dxa"/>
            <w:tcBorders>
              <w:top w:val="single" w:sz="12" w:space="0" w:color="auto"/>
              <w:bottom w:val="nil"/>
              <w:right w:val="nil"/>
            </w:tcBorders>
            <w:shd w:val="clear" w:color="auto" w:fill="auto"/>
          </w:tcPr>
          <w:p w14:paraId="08E1170D" w14:textId="77777777" w:rsidR="00C972C1" w:rsidRPr="00043019" w:rsidRDefault="00C972C1" w:rsidP="002B7A58">
            <w:pPr>
              <w:spacing w:after="58"/>
              <w:jc w:val="both"/>
              <w:rPr>
                <w:rFonts w:ascii="Times New Roman" w:hAnsi="Times New Roman"/>
                <w:b/>
                <w:szCs w:val="24"/>
                <w:highlight w:val="lightGray"/>
              </w:rPr>
            </w:pPr>
          </w:p>
        </w:tc>
        <w:tc>
          <w:tcPr>
            <w:tcW w:w="3192" w:type="dxa"/>
            <w:tcBorders>
              <w:top w:val="single" w:sz="12" w:space="0" w:color="auto"/>
              <w:left w:val="nil"/>
              <w:bottom w:val="nil"/>
              <w:right w:val="nil"/>
            </w:tcBorders>
            <w:shd w:val="clear" w:color="auto" w:fill="auto"/>
          </w:tcPr>
          <w:p w14:paraId="3E3E095E" w14:textId="77777777" w:rsidR="00C972C1" w:rsidRPr="00043019" w:rsidRDefault="00C972C1" w:rsidP="000702E9">
            <w:pPr>
              <w:spacing w:after="58"/>
              <w:jc w:val="right"/>
              <w:rPr>
                <w:rFonts w:ascii="Times New Roman" w:hAnsi="Times New Roman"/>
                <w:b/>
                <w:szCs w:val="24"/>
                <w:highlight w:val="lightGray"/>
              </w:rPr>
            </w:pPr>
          </w:p>
        </w:tc>
        <w:tc>
          <w:tcPr>
            <w:tcW w:w="3192" w:type="dxa"/>
            <w:tcBorders>
              <w:top w:val="single" w:sz="12" w:space="0" w:color="auto"/>
              <w:left w:val="nil"/>
              <w:bottom w:val="nil"/>
            </w:tcBorders>
            <w:shd w:val="clear" w:color="auto" w:fill="auto"/>
          </w:tcPr>
          <w:p w14:paraId="6CFA251A" w14:textId="77777777" w:rsidR="00C972C1" w:rsidRPr="00043019" w:rsidRDefault="00C972C1" w:rsidP="002B7A58">
            <w:pPr>
              <w:spacing w:after="58"/>
              <w:jc w:val="both"/>
              <w:rPr>
                <w:rFonts w:ascii="Times New Roman" w:hAnsi="Times New Roman"/>
                <w:b/>
                <w:szCs w:val="24"/>
                <w:highlight w:val="lightGray"/>
              </w:rPr>
            </w:pPr>
          </w:p>
        </w:tc>
      </w:tr>
      <w:tr w:rsidR="00C972C1" w:rsidRPr="00043019" w14:paraId="52C80777" w14:textId="77777777" w:rsidTr="00D4148E">
        <w:tc>
          <w:tcPr>
            <w:tcW w:w="3192" w:type="dxa"/>
            <w:tcBorders>
              <w:top w:val="nil"/>
              <w:bottom w:val="single" w:sz="12" w:space="0" w:color="auto"/>
              <w:right w:val="nil"/>
            </w:tcBorders>
            <w:shd w:val="pct15" w:color="auto" w:fill="auto"/>
          </w:tcPr>
          <w:p w14:paraId="46DA3FD9" w14:textId="77777777" w:rsidR="00C972C1" w:rsidRPr="00043019" w:rsidRDefault="00C972C1" w:rsidP="002B7A58">
            <w:pPr>
              <w:spacing w:after="58"/>
              <w:jc w:val="both"/>
              <w:rPr>
                <w:rFonts w:ascii="Times New Roman" w:hAnsi="Times New Roman"/>
                <w:b/>
                <w:szCs w:val="24"/>
                <w:highlight w:val="lightGray"/>
              </w:rPr>
            </w:pPr>
            <w:r w:rsidRPr="00043019">
              <w:rPr>
                <w:rFonts w:ascii="Times New Roman" w:hAnsi="Times New Roman"/>
                <w:b/>
                <w:szCs w:val="24"/>
                <w:highlight w:val="lightGray"/>
              </w:rPr>
              <w:t>Other (Including Urban)</w:t>
            </w:r>
          </w:p>
        </w:tc>
        <w:tc>
          <w:tcPr>
            <w:tcW w:w="3192" w:type="dxa"/>
            <w:tcBorders>
              <w:top w:val="nil"/>
              <w:left w:val="nil"/>
              <w:bottom w:val="single" w:sz="12" w:space="0" w:color="auto"/>
              <w:right w:val="nil"/>
            </w:tcBorders>
            <w:shd w:val="pct15" w:color="auto" w:fill="auto"/>
          </w:tcPr>
          <w:p w14:paraId="3DD0414C" w14:textId="77777777" w:rsidR="00C972C1" w:rsidRPr="00043019" w:rsidRDefault="00C972C1" w:rsidP="000702E9">
            <w:pPr>
              <w:spacing w:after="58"/>
              <w:jc w:val="right"/>
              <w:rPr>
                <w:rFonts w:ascii="Times New Roman" w:hAnsi="Times New Roman"/>
                <w:b/>
                <w:szCs w:val="24"/>
                <w:highlight w:val="lightGray"/>
              </w:rPr>
            </w:pPr>
            <w:r w:rsidRPr="00043019">
              <w:rPr>
                <w:rFonts w:ascii="Times New Roman" w:hAnsi="Times New Roman"/>
                <w:b/>
                <w:szCs w:val="24"/>
                <w:highlight w:val="lightGray"/>
              </w:rPr>
              <w:t>2,261  mi</w:t>
            </w:r>
            <w:r w:rsidRPr="00043019">
              <w:rPr>
                <w:rFonts w:ascii="Times New Roman" w:hAnsi="Times New Roman"/>
                <w:b/>
                <w:szCs w:val="24"/>
                <w:highlight w:val="lightGray"/>
                <w:vertAlign w:val="superscript"/>
              </w:rPr>
              <w:t>2</w:t>
            </w:r>
          </w:p>
        </w:tc>
        <w:tc>
          <w:tcPr>
            <w:tcW w:w="3192" w:type="dxa"/>
            <w:tcBorders>
              <w:top w:val="nil"/>
              <w:left w:val="nil"/>
              <w:bottom w:val="single" w:sz="12" w:space="0" w:color="auto"/>
            </w:tcBorders>
            <w:shd w:val="pct15" w:color="auto" w:fill="auto"/>
          </w:tcPr>
          <w:p w14:paraId="7965D5CD" w14:textId="77777777" w:rsidR="00C972C1" w:rsidRPr="00043019" w:rsidRDefault="0035134E" w:rsidP="002B7A58">
            <w:pPr>
              <w:spacing w:after="58"/>
              <w:jc w:val="both"/>
              <w:rPr>
                <w:rFonts w:ascii="Times New Roman" w:hAnsi="Times New Roman"/>
                <w:b/>
                <w:szCs w:val="24"/>
                <w:highlight w:val="lightGray"/>
              </w:rPr>
            </w:pPr>
            <w:r w:rsidRPr="00043019">
              <w:rPr>
                <w:rFonts w:ascii="Times New Roman" w:hAnsi="Times New Roman"/>
                <w:b/>
                <w:szCs w:val="24"/>
                <w:highlight w:val="lightGray"/>
              </w:rPr>
              <w:t>6</w:t>
            </w:r>
            <w:r w:rsidR="00C972C1" w:rsidRPr="00043019">
              <w:rPr>
                <w:rFonts w:ascii="Times New Roman" w:hAnsi="Times New Roman"/>
                <w:b/>
                <w:szCs w:val="24"/>
                <w:highlight w:val="lightGray"/>
              </w:rPr>
              <w:t>%</w:t>
            </w:r>
          </w:p>
        </w:tc>
      </w:tr>
      <w:tr w:rsidR="00C972C1" w:rsidRPr="00043019" w14:paraId="31797159" w14:textId="77777777" w:rsidTr="00D4148E">
        <w:tc>
          <w:tcPr>
            <w:tcW w:w="3192" w:type="dxa"/>
            <w:tcBorders>
              <w:top w:val="single" w:sz="12" w:space="0" w:color="auto"/>
              <w:bottom w:val="nil"/>
              <w:right w:val="nil"/>
            </w:tcBorders>
            <w:shd w:val="clear" w:color="auto" w:fill="auto"/>
          </w:tcPr>
          <w:p w14:paraId="5ED352F2" w14:textId="77777777" w:rsidR="00C972C1" w:rsidRPr="00043019" w:rsidRDefault="00C972C1" w:rsidP="002B7A58">
            <w:pPr>
              <w:spacing w:after="58"/>
              <w:jc w:val="both"/>
              <w:rPr>
                <w:rFonts w:ascii="Times New Roman" w:hAnsi="Times New Roman"/>
                <w:b/>
                <w:szCs w:val="24"/>
                <w:highlight w:val="lightGray"/>
              </w:rPr>
            </w:pPr>
          </w:p>
        </w:tc>
        <w:tc>
          <w:tcPr>
            <w:tcW w:w="3192" w:type="dxa"/>
            <w:tcBorders>
              <w:top w:val="single" w:sz="12" w:space="0" w:color="auto"/>
              <w:left w:val="nil"/>
              <w:bottom w:val="nil"/>
              <w:right w:val="nil"/>
            </w:tcBorders>
            <w:shd w:val="clear" w:color="auto" w:fill="auto"/>
          </w:tcPr>
          <w:p w14:paraId="6C21EB46" w14:textId="77777777" w:rsidR="00C972C1" w:rsidRPr="00043019" w:rsidRDefault="00C972C1" w:rsidP="000702E9">
            <w:pPr>
              <w:spacing w:after="58"/>
              <w:jc w:val="right"/>
              <w:rPr>
                <w:rFonts w:ascii="Times New Roman" w:hAnsi="Times New Roman"/>
                <w:b/>
                <w:szCs w:val="24"/>
                <w:highlight w:val="lightGray"/>
              </w:rPr>
            </w:pPr>
          </w:p>
        </w:tc>
        <w:tc>
          <w:tcPr>
            <w:tcW w:w="3192" w:type="dxa"/>
            <w:tcBorders>
              <w:top w:val="single" w:sz="12" w:space="0" w:color="auto"/>
              <w:left w:val="nil"/>
              <w:bottom w:val="nil"/>
            </w:tcBorders>
            <w:shd w:val="clear" w:color="auto" w:fill="auto"/>
          </w:tcPr>
          <w:p w14:paraId="6C4BC2B4" w14:textId="77777777" w:rsidR="00C972C1" w:rsidRPr="00043019" w:rsidRDefault="00C972C1" w:rsidP="002B7A58">
            <w:pPr>
              <w:spacing w:after="58"/>
              <w:jc w:val="both"/>
              <w:rPr>
                <w:rFonts w:ascii="Times New Roman" w:hAnsi="Times New Roman"/>
                <w:b/>
                <w:szCs w:val="24"/>
                <w:highlight w:val="lightGray"/>
              </w:rPr>
            </w:pPr>
          </w:p>
        </w:tc>
      </w:tr>
      <w:tr w:rsidR="00C972C1" w:rsidRPr="00043019" w14:paraId="1D70E8ED" w14:textId="77777777" w:rsidTr="00D4148E">
        <w:tc>
          <w:tcPr>
            <w:tcW w:w="3192" w:type="dxa"/>
            <w:tcBorders>
              <w:top w:val="nil"/>
              <w:bottom w:val="nil"/>
              <w:right w:val="nil"/>
            </w:tcBorders>
            <w:shd w:val="clear" w:color="auto" w:fill="auto"/>
          </w:tcPr>
          <w:p w14:paraId="1AFE23D9" w14:textId="77777777" w:rsidR="00C972C1" w:rsidRPr="00043019" w:rsidRDefault="00C972C1" w:rsidP="002B7A58">
            <w:pPr>
              <w:spacing w:after="58"/>
              <w:jc w:val="both"/>
              <w:rPr>
                <w:rFonts w:ascii="Times New Roman" w:hAnsi="Times New Roman"/>
                <w:b/>
                <w:szCs w:val="24"/>
                <w:highlight w:val="lightGray"/>
              </w:rPr>
            </w:pPr>
            <w:r w:rsidRPr="00043019">
              <w:rPr>
                <w:rFonts w:ascii="Times New Roman" w:hAnsi="Times New Roman"/>
                <w:szCs w:val="24"/>
              </w:rPr>
              <w:t>Total Land Area</w:t>
            </w:r>
            <w:r w:rsidRPr="00043019">
              <w:rPr>
                <w:rFonts w:ascii="Times New Roman" w:hAnsi="Times New Roman"/>
                <w:szCs w:val="24"/>
              </w:rPr>
              <w:tab/>
            </w:r>
          </w:p>
        </w:tc>
        <w:tc>
          <w:tcPr>
            <w:tcW w:w="3192" w:type="dxa"/>
            <w:tcBorders>
              <w:top w:val="nil"/>
              <w:left w:val="nil"/>
              <w:bottom w:val="nil"/>
              <w:right w:val="nil"/>
            </w:tcBorders>
            <w:shd w:val="clear" w:color="auto" w:fill="auto"/>
          </w:tcPr>
          <w:p w14:paraId="22B1FE5F" w14:textId="77777777" w:rsidR="00C972C1" w:rsidRPr="00043019" w:rsidRDefault="004636B9" w:rsidP="000702E9">
            <w:pPr>
              <w:spacing w:after="58"/>
              <w:jc w:val="right"/>
              <w:rPr>
                <w:rFonts w:ascii="Times New Roman" w:hAnsi="Times New Roman"/>
                <w:b/>
                <w:szCs w:val="24"/>
                <w:highlight w:val="lightGray"/>
              </w:rPr>
            </w:pPr>
            <w:r w:rsidRPr="00043019">
              <w:rPr>
                <w:rFonts w:ascii="Times New Roman" w:hAnsi="Times New Roman"/>
                <w:color w:val="000000"/>
                <w:szCs w:val="24"/>
              </w:rPr>
              <w:t>39,764</w:t>
            </w:r>
            <w:r w:rsidR="00C972C1" w:rsidRPr="00043019">
              <w:rPr>
                <w:rFonts w:ascii="Times New Roman" w:hAnsi="Times New Roman"/>
                <w:color w:val="000000"/>
                <w:szCs w:val="24"/>
              </w:rPr>
              <w:t xml:space="preserve"> </w:t>
            </w:r>
            <w:r w:rsidR="00C972C1" w:rsidRPr="00043019">
              <w:rPr>
                <w:rFonts w:ascii="Times New Roman" w:hAnsi="Times New Roman"/>
                <w:szCs w:val="24"/>
              </w:rPr>
              <w:t>mi</w:t>
            </w:r>
            <w:r w:rsidR="00C972C1" w:rsidRPr="00043019">
              <w:rPr>
                <w:rFonts w:ascii="Times New Roman" w:hAnsi="Times New Roman"/>
                <w:szCs w:val="24"/>
                <w:vertAlign w:val="superscript"/>
              </w:rPr>
              <w:t>2</w:t>
            </w:r>
          </w:p>
        </w:tc>
        <w:tc>
          <w:tcPr>
            <w:tcW w:w="3192" w:type="dxa"/>
            <w:tcBorders>
              <w:top w:val="nil"/>
              <w:left w:val="nil"/>
              <w:bottom w:val="nil"/>
            </w:tcBorders>
            <w:shd w:val="clear" w:color="auto" w:fill="auto"/>
          </w:tcPr>
          <w:p w14:paraId="21784161" w14:textId="77777777" w:rsidR="00C972C1" w:rsidRPr="00043019" w:rsidRDefault="004636B9" w:rsidP="002B7A58">
            <w:pPr>
              <w:spacing w:after="58"/>
              <w:jc w:val="both"/>
              <w:rPr>
                <w:rFonts w:ascii="Times New Roman" w:hAnsi="Times New Roman"/>
                <w:b/>
                <w:szCs w:val="24"/>
                <w:highlight w:val="lightGray"/>
              </w:rPr>
            </w:pPr>
            <w:r w:rsidRPr="00043019">
              <w:rPr>
                <w:rFonts w:ascii="Times New Roman" w:hAnsi="Times New Roman"/>
                <w:szCs w:val="24"/>
              </w:rPr>
              <w:t>93</w:t>
            </w:r>
            <w:r w:rsidR="00C972C1" w:rsidRPr="00043019">
              <w:rPr>
                <w:rFonts w:ascii="Times New Roman" w:hAnsi="Times New Roman"/>
                <w:szCs w:val="24"/>
              </w:rPr>
              <w:t>%</w:t>
            </w:r>
          </w:p>
        </w:tc>
      </w:tr>
      <w:tr w:rsidR="00C972C1" w:rsidRPr="00043019" w14:paraId="0CF97602" w14:textId="77777777" w:rsidTr="00D4148E">
        <w:tc>
          <w:tcPr>
            <w:tcW w:w="3192" w:type="dxa"/>
            <w:tcBorders>
              <w:top w:val="nil"/>
              <w:bottom w:val="nil"/>
              <w:right w:val="nil"/>
            </w:tcBorders>
            <w:shd w:val="clear" w:color="auto" w:fill="auto"/>
          </w:tcPr>
          <w:p w14:paraId="0FA498E7" w14:textId="77777777" w:rsidR="00C972C1" w:rsidRPr="00043019" w:rsidRDefault="00C972C1" w:rsidP="002B7A58">
            <w:pPr>
              <w:spacing w:after="58"/>
              <w:jc w:val="both"/>
              <w:rPr>
                <w:rFonts w:ascii="Times New Roman" w:hAnsi="Times New Roman"/>
                <w:szCs w:val="24"/>
              </w:rPr>
            </w:pPr>
          </w:p>
        </w:tc>
        <w:tc>
          <w:tcPr>
            <w:tcW w:w="3192" w:type="dxa"/>
            <w:tcBorders>
              <w:top w:val="nil"/>
              <w:left w:val="nil"/>
              <w:bottom w:val="nil"/>
              <w:right w:val="nil"/>
            </w:tcBorders>
            <w:shd w:val="clear" w:color="auto" w:fill="auto"/>
          </w:tcPr>
          <w:p w14:paraId="388A905D" w14:textId="77777777" w:rsidR="00C972C1" w:rsidRPr="00043019" w:rsidRDefault="00C972C1" w:rsidP="000702E9">
            <w:pPr>
              <w:spacing w:after="58"/>
              <w:jc w:val="right"/>
              <w:rPr>
                <w:rFonts w:ascii="Times New Roman" w:hAnsi="Times New Roman"/>
                <w:color w:val="000000"/>
                <w:szCs w:val="24"/>
              </w:rPr>
            </w:pPr>
          </w:p>
        </w:tc>
        <w:tc>
          <w:tcPr>
            <w:tcW w:w="3192" w:type="dxa"/>
            <w:tcBorders>
              <w:top w:val="nil"/>
              <w:left w:val="nil"/>
              <w:bottom w:val="nil"/>
            </w:tcBorders>
            <w:shd w:val="clear" w:color="auto" w:fill="auto"/>
          </w:tcPr>
          <w:p w14:paraId="36D10D56" w14:textId="77777777" w:rsidR="00C972C1" w:rsidRPr="00043019" w:rsidRDefault="00C972C1" w:rsidP="002B7A58">
            <w:pPr>
              <w:spacing w:after="58"/>
              <w:jc w:val="both"/>
              <w:rPr>
                <w:rFonts w:ascii="Times New Roman" w:hAnsi="Times New Roman"/>
                <w:szCs w:val="24"/>
              </w:rPr>
            </w:pPr>
          </w:p>
        </w:tc>
      </w:tr>
      <w:tr w:rsidR="00C972C1" w:rsidRPr="00043019" w14:paraId="54FF5179" w14:textId="77777777" w:rsidTr="00D4148E">
        <w:tc>
          <w:tcPr>
            <w:tcW w:w="3192" w:type="dxa"/>
            <w:tcBorders>
              <w:top w:val="nil"/>
              <w:bottom w:val="single" w:sz="12" w:space="0" w:color="auto"/>
              <w:right w:val="nil"/>
            </w:tcBorders>
            <w:shd w:val="pct15" w:color="auto" w:fill="auto"/>
          </w:tcPr>
          <w:p w14:paraId="5930F56E" w14:textId="77777777" w:rsidR="00C972C1" w:rsidRPr="00043019" w:rsidRDefault="00C972C1" w:rsidP="002B7A58">
            <w:pPr>
              <w:spacing w:after="58"/>
              <w:jc w:val="both"/>
              <w:rPr>
                <w:rFonts w:ascii="Times New Roman" w:hAnsi="Times New Roman"/>
                <w:szCs w:val="24"/>
              </w:rPr>
            </w:pPr>
            <w:r w:rsidRPr="00043019">
              <w:rPr>
                <w:rFonts w:ascii="Times New Roman" w:hAnsi="Times New Roman"/>
                <w:b/>
                <w:szCs w:val="24"/>
                <w:highlight w:val="lightGray"/>
              </w:rPr>
              <w:t>Inland Waters</w:t>
            </w:r>
          </w:p>
        </w:tc>
        <w:tc>
          <w:tcPr>
            <w:tcW w:w="3192" w:type="dxa"/>
            <w:tcBorders>
              <w:top w:val="nil"/>
              <w:left w:val="nil"/>
              <w:bottom w:val="single" w:sz="12" w:space="0" w:color="auto"/>
              <w:right w:val="nil"/>
            </w:tcBorders>
            <w:shd w:val="pct15" w:color="auto" w:fill="auto"/>
          </w:tcPr>
          <w:p w14:paraId="46445A79" w14:textId="77777777" w:rsidR="00C972C1" w:rsidRPr="00043019" w:rsidRDefault="004636B9" w:rsidP="000702E9">
            <w:pPr>
              <w:spacing w:after="58"/>
              <w:jc w:val="right"/>
              <w:rPr>
                <w:rFonts w:ascii="Times New Roman" w:hAnsi="Times New Roman"/>
                <w:color w:val="000000"/>
                <w:szCs w:val="24"/>
              </w:rPr>
            </w:pPr>
            <w:r w:rsidRPr="00043019">
              <w:rPr>
                <w:rFonts w:ascii="Times New Roman" w:hAnsi="Times New Roman"/>
                <w:b/>
                <w:color w:val="000000"/>
                <w:szCs w:val="24"/>
                <w:highlight w:val="lightGray"/>
              </w:rPr>
              <w:t>3,011</w:t>
            </w:r>
            <w:r w:rsidR="00C972C1" w:rsidRPr="00043019">
              <w:rPr>
                <w:rFonts w:ascii="Times New Roman" w:hAnsi="Times New Roman"/>
                <w:b/>
                <w:color w:val="000000"/>
                <w:szCs w:val="24"/>
                <w:highlight w:val="lightGray"/>
              </w:rPr>
              <w:t xml:space="preserve"> </w:t>
            </w:r>
            <w:r w:rsidR="00C972C1" w:rsidRPr="00043019">
              <w:rPr>
                <w:rFonts w:ascii="Times New Roman" w:hAnsi="Times New Roman"/>
                <w:b/>
                <w:szCs w:val="24"/>
                <w:highlight w:val="lightGray"/>
              </w:rPr>
              <w:t>mi</w:t>
            </w:r>
            <w:r w:rsidR="00C972C1" w:rsidRPr="00043019">
              <w:rPr>
                <w:rFonts w:ascii="Times New Roman" w:hAnsi="Times New Roman"/>
                <w:b/>
                <w:szCs w:val="24"/>
                <w:highlight w:val="lightGray"/>
                <w:vertAlign w:val="superscript"/>
              </w:rPr>
              <w:t>2</w:t>
            </w:r>
          </w:p>
        </w:tc>
        <w:tc>
          <w:tcPr>
            <w:tcW w:w="3192" w:type="dxa"/>
            <w:tcBorders>
              <w:top w:val="nil"/>
              <w:left w:val="nil"/>
              <w:bottom w:val="single" w:sz="12" w:space="0" w:color="auto"/>
            </w:tcBorders>
            <w:shd w:val="pct15" w:color="auto" w:fill="auto"/>
          </w:tcPr>
          <w:p w14:paraId="474FA1CF" w14:textId="77777777" w:rsidR="00C972C1" w:rsidRPr="00043019" w:rsidRDefault="004636B9" w:rsidP="002B7A58">
            <w:pPr>
              <w:spacing w:after="58"/>
              <w:jc w:val="both"/>
              <w:rPr>
                <w:rFonts w:ascii="Times New Roman" w:hAnsi="Times New Roman"/>
                <w:szCs w:val="24"/>
              </w:rPr>
            </w:pPr>
            <w:r w:rsidRPr="00043019">
              <w:rPr>
                <w:rFonts w:ascii="Times New Roman" w:hAnsi="Times New Roman"/>
                <w:b/>
                <w:szCs w:val="24"/>
                <w:highlight w:val="lightGray"/>
              </w:rPr>
              <w:t>7</w:t>
            </w:r>
            <w:r w:rsidR="00C972C1" w:rsidRPr="00043019">
              <w:rPr>
                <w:rFonts w:ascii="Times New Roman" w:hAnsi="Times New Roman"/>
                <w:szCs w:val="24"/>
                <w:highlight w:val="lightGray"/>
              </w:rPr>
              <w:t>%</w:t>
            </w:r>
          </w:p>
        </w:tc>
      </w:tr>
      <w:tr w:rsidR="00C972C1" w:rsidRPr="00043019" w14:paraId="127FD9D6" w14:textId="77777777" w:rsidTr="00D4148E">
        <w:tc>
          <w:tcPr>
            <w:tcW w:w="3192" w:type="dxa"/>
            <w:tcBorders>
              <w:top w:val="single" w:sz="12" w:space="0" w:color="auto"/>
              <w:bottom w:val="nil"/>
              <w:right w:val="nil"/>
            </w:tcBorders>
            <w:shd w:val="clear" w:color="auto" w:fill="auto"/>
          </w:tcPr>
          <w:p w14:paraId="61E56F8A" w14:textId="77777777" w:rsidR="00C972C1" w:rsidRPr="00043019" w:rsidRDefault="00C972C1" w:rsidP="002B7A58">
            <w:pPr>
              <w:spacing w:after="58"/>
              <w:jc w:val="both"/>
              <w:rPr>
                <w:rFonts w:ascii="Times New Roman" w:hAnsi="Times New Roman"/>
                <w:b/>
                <w:szCs w:val="24"/>
                <w:highlight w:val="lightGray"/>
              </w:rPr>
            </w:pPr>
          </w:p>
        </w:tc>
        <w:tc>
          <w:tcPr>
            <w:tcW w:w="3192" w:type="dxa"/>
            <w:tcBorders>
              <w:top w:val="single" w:sz="12" w:space="0" w:color="auto"/>
              <w:left w:val="nil"/>
              <w:bottom w:val="nil"/>
              <w:right w:val="nil"/>
            </w:tcBorders>
            <w:shd w:val="clear" w:color="auto" w:fill="auto"/>
          </w:tcPr>
          <w:p w14:paraId="39F4E025" w14:textId="77777777" w:rsidR="00C972C1" w:rsidRPr="00043019" w:rsidRDefault="00C972C1" w:rsidP="000702E9">
            <w:pPr>
              <w:spacing w:after="58"/>
              <w:jc w:val="right"/>
              <w:rPr>
                <w:rFonts w:ascii="Times New Roman" w:hAnsi="Times New Roman"/>
                <w:b/>
                <w:color w:val="000000"/>
                <w:szCs w:val="24"/>
                <w:highlight w:val="lightGray"/>
              </w:rPr>
            </w:pPr>
          </w:p>
        </w:tc>
        <w:tc>
          <w:tcPr>
            <w:tcW w:w="3192" w:type="dxa"/>
            <w:tcBorders>
              <w:top w:val="single" w:sz="12" w:space="0" w:color="auto"/>
              <w:left w:val="nil"/>
              <w:bottom w:val="nil"/>
            </w:tcBorders>
            <w:shd w:val="clear" w:color="auto" w:fill="auto"/>
          </w:tcPr>
          <w:p w14:paraId="0247AB36" w14:textId="77777777" w:rsidR="00C972C1" w:rsidRPr="00043019" w:rsidRDefault="00C972C1" w:rsidP="002B7A58">
            <w:pPr>
              <w:spacing w:after="58"/>
              <w:jc w:val="both"/>
              <w:rPr>
                <w:rFonts w:ascii="Times New Roman" w:hAnsi="Times New Roman"/>
                <w:b/>
                <w:szCs w:val="24"/>
                <w:highlight w:val="lightGray"/>
              </w:rPr>
            </w:pPr>
          </w:p>
        </w:tc>
      </w:tr>
      <w:tr w:rsidR="00C972C1" w:rsidRPr="00043019" w14:paraId="610C81CD" w14:textId="77777777" w:rsidTr="00D4148E">
        <w:tc>
          <w:tcPr>
            <w:tcW w:w="3192" w:type="dxa"/>
            <w:tcBorders>
              <w:top w:val="nil"/>
              <w:bottom w:val="single" w:sz="4" w:space="0" w:color="auto"/>
              <w:right w:val="nil"/>
            </w:tcBorders>
            <w:shd w:val="pct15" w:color="auto" w:fill="auto"/>
          </w:tcPr>
          <w:p w14:paraId="4DD4A875" w14:textId="77777777" w:rsidR="00C972C1" w:rsidRPr="00043019" w:rsidRDefault="00C972C1" w:rsidP="002B7A58">
            <w:pPr>
              <w:spacing w:after="58"/>
              <w:jc w:val="both"/>
              <w:rPr>
                <w:rFonts w:ascii="Times New Roman" w:hAnsi="Times New Roman"/>
                <w:b/>
                <w:szCs w:val="24"/>
                <w:highlight w:val="lightGray"/>
              </w:rPr>
            </w:pPr>
            <w:r w:rsidRPr="00043019">
              <w:rPr>
                <w:rFonts w:ascii="Times New Roman" w:hAnsi="Times New Roman"/>
                <w:b/>
                <w:caps/>
                <w:szCs w:val="24"/>
                <w:highlight w:val="lightGray"/>
              </w:rPr>
              <w:t>Total Area</w:t>
            </w:r>
          </w:p>
        </w:tc>
        <w:tc>
          <w:tcPr>
            <w:tcW w:w="3192" w:type="dxa"/>
            <w:tcBorders>
              <w:top w:val="nil"/>
              <w:left w:val="nil"/>
              <w:bottom w:val="single" w:sz="4" w:space="0" w:color="auto"/>
              <w:right w:val="nil"/>
            </w:tcBorders>
            <w:shd w:val="pct15" w:color="auto" w:fill="auto"/>
          </w:tcPr>
          <w:p w14:paraId="724F6672" w14:textId="77777777" w:rsidR="00C972C1" w:rsidRPr="00043019" w:rsidRDefault="00C972C1" w:rsidP="000702E9">
            <w:pPr>
              <w:spacing w:after="58"/>
              <w:jc w:val="right"/>
              <w:rPr>
                <w:rFonts w:ascii="Times New Roman" w:hAnsi="Times New Roman"/>
                <w:b/>
                <w:color w:val="000000"/>
                <w:szCs w:val="24"/>
                <w:highlight w:val="lightGray"/>
              </w:rPr>
            </w:pPr>
            <w:r w:rsidRPr="00043019">
              <w:rPr>
                <w:rFonts w:ascii="Times New Roman" w:hAnsi="Times New Roman"/>
                <w:b/>
                <w:caps/>
                <w:color w:val="000000"/>
                <w:szCs w:val="24"/>
                <w:highlight w:val="lightGray"/>
              </w:rPr>
              <w:t xml:space="preserve">42,775 </w:t>
            </w:r>
            <w:r w:rsidRPr="00043019">
              <w:rPr>
                <w:rFonts w:ascii="Times New Roman" w:hAnsi="Times New Roman"/>
                <w:b/>
                <w:szCs w:val="24"/>
                <w:highlight w:val="lightGray"/>
              </w:rPr>
              <w:t>mi</w:t>
            </w:r>
            <w:r w:rsidRPr="00043019">
              <w:rPr>
                <w:rFonts w:ascii="Times New Roman" w:hAnsi="Times New Roman"/>
                <w:b/>
                <w:caps/>
                <w:szCs w:val="24"/>
                <w:highlight w:val="lightGray"/>
                <w:vertAlign w:val="superscript"/>
              </w:rPr>
              <w:t>2</w:t>
            </w:r>
          </w:p>
        </w:tc>
        <w:tc>
          <w:tcPr>
            <w:tcW w:w="3192" w:type="dxa"/>
            <w:tcBorders>
              <w:top w:val="nil"/>
              <w:left w:val="nil"/>
              <w:bottom w:val="single" w:sz="4" w:space="0" w:color="auto"/>
            </w:tcBorders>
            <w:shd w:val="pct15" w:color="auto" w:fill="auto"/>
          </w:tcPr>
          <w:p w14:paraId="6B1A0A5D" w14:textId="77777777" w:rsidR="00C972C1" w:rsidRPr="00043019" w:rsidRDefault="00C972C1" w:rsidP="002B7A58">
            <w:pPr>
              <w:spacing w:after="58"/>
              <w:jc w:val="both"/>
              <w:rPr>
                <w:rFonts w:ascii="Times New Roman" w:hAnsi="Times New Roman"/>
                <w:b/>
                <w:szCs w:val="24"/>
                <w:highlight w:val="lightGray"/>
              </w:rPr>
            </w:pPr>
            <w:r w:rsidRPr="00043019">
              <w:rPr>
                <w:rFonts w:ascii="Times New Roman" w:hAnsi="Times New Roman"/>
                <w:b/>
                <w:caps/>
                <w:szCs w:val="24"/>
                <w:highlight w:val="lightGray"/>
              </w:rPr>
              <w:t>100%</w:t>
            </w:r>
          </w:p>
        </w:tc>
      </w:tr>
    </w:tbl>
    <w:p w14:paraId="37DC8498" w14:textId="77777777" w:rsidR="00903775" w:rsidRPr="00043019" w:rsidRDefault="00903775" w:rsidP="00903775">
      <w:pPr>
        <w:rPr>
          <w:rFonts w:ascii="Times New Roman" w:hAnsi="Times New Roman"/>
          <w:szCs w:val="24"/>
          <w:vertAlign w:val="superscript"/>
        </w:rPr>
      </w:pPr>
    </w:p>
    <w:p w14:paraId="21D77D02" w14:textId="19F55888" w:rsidR="00903775" w:rsidRPr="00043019" w:rsidRDefault="00903775" w:rsidP="00903775">
      <w:pPr>
        <w:rPr>
          <w:rFonts w:ascii="Times New Roman" w:hAnsi="Times New Roman"/>
          <w:szCs w:val="24"/>
        </w:rPr>
      </w:pPr>
      <w:r w:rsidRPr="00043019">
        <w:rPr>
          <w:rFonts w:ascii="Times New Roman" w:hAnsi="Times New Roman"/>
          <w:szCs w:val="24"/>
          <w:vertAlign w:val="superscript"/>
        </w:rPr>
        <w:t xml:space="preserve">1 </w:t>
      </w:r>
      <w:r w:rsidRPr="00043019">
        <w:rPr>
          <w:rFonts w:ascii="Times New Roman" w:hAnsi="Times New Roman"/>
          <w:szCs w:val="24"/>
        </w:rPr>
        <w:t xml:space="preserve">Source: </w:t>
      </w:r>
      <w:hyperlink r:id="rId7" w:tooltip="Virginia Dept. of Forestry PDF document" w:history="1">
        <w:r w:rsidR="00FA3FF0" w:rsidRPr="00341769">
          <w:rPr>
            <w:rStyle w:val="Hyperlink"/>
            <w:rFonts w:ascii="Times New Roman" w:hAnsi="Times New Roman"/>
            <w:szCs w:val="24"/>
          </w:rPr>
          <w:t>20</w:t>
        </w:r>
        <w:r w:rsidR="00D42167">
          <w:rPr>
            <w:rStyle w:val="Hyperlink"/>
            <w:rFonts w:ascii="Times New Roman" w:hAnsi="Times New Roman"/>
            <w:szCs w:val="24"/>
          </w:rPr>
          <w:t>18</w:t>
        </w:r>
        <w:r w:rsidR="00FA3FF0" w:rsidRPr="00341769">
          <w:rPr>
            <w:rStyle w:val="Hyperlink"/>
            <w:rFonts w:ascii="Times New Roman" w:hAnsi="Times New Roman"/>
            <w:szCs w:val="24"/>
          </w:rPr>
          <w:t xml:space="preserve"> State of the Forest, Virginia Department of Forestry</w:t>
        </w:r>
      </w:hyperlink>
    </w:p>
    <w:p w14:paraId="62E37BA2" w14:textId="20FF603F" w:rsidR="00903775" w:rsidRPr="00043019" w:rsidRDefault="00903775" w:rsidP="00903775">
      <w:pPr>
        <w:rPr>
          <w:rFonts w:ascii="Times New Roman" w:hAnsi="Times New Roman"/>
          <w:szCs w:val="24"/>
        </w:rPr>
      </w:pPr>
      <w:r w:rsidRPr="00043019">
        <w:rPr>
          <w:rFonts w:ascii="Times New Roman" w:hAnsi="Times New Roman"/>
          <w:szCs w:val="24"/>
          <w:vertAlign w:val="superscript"/>
        </w:rPr>
        <w:t>2</w:t>
      </w:r>
      <w:r w:rsidRPr="00043019">
        <w:rPr>
          <w:rFonts w:ascii="Times New Roman" w:hAnsi="Times New Roman"/>
          <w:szCs w:val="24"/>
        </w:rPr>
        <w:t xml:space="preserve"> Source: </w:t>
      </w:r>
      <w:hyperlink r:id="rId8" w:tooltip="USDA 2017 Ag Census PDF document" w:history="1">
        <w:r w:rsidR="00D75A8D">
          <w:rPr>
            <w:rStyle w:val="Hyperlink"/>
            <w:rFonts w:ascii="Times New Roman" w:hAnsi="Times New Roman"/>
            <w:szCs w:val="24"/>
          </w:rPr>
          <w:t>2017</w:t>
        </w:r>
        <w:r w:rsidRPr="00043019">
          <w:rPr>
            <w:rStyle w:val="Hyperlink"/>
            <w:rFonts w:ascii="Times New Roman" w:hAnsi="Times New Roman"/>
            <w:szCs w:val="24"/>
          </w:rPr>
          <w:t xml:space="preserve"> Census of Agriculture, US Department of Agriculture</w:t>
        </w:r>
      </w:hyperlink>
    </w:p>
    <w:p w14:paraId="4C0AE1BF" w14:textId="77777777" w:rsidR="00E93894" w:rsidRPr="00043019" w:rsidRDefault="00E93894">
      <w:pPr>
        <w:rPr>
          <w:rFonts w:ascii="Times New Roman" w:hAnsi="Times New Roman"/>
          <w:szCs w:val="24"/>
        </w:rPr>
      </w:pPr>
    </w:p>
    <w:sectPr w:rsidR="00E93894" w:rsidRPr="00043019" w:rsidSect="003719F0">
      <w:footerReference w:type="default" r:id="rId9"/>
      <w:endnotePr>
        <w:numFmt w:val="decimal"/>
      </w:endnotePr>
      <w:type w:val="continuous"/>
      <w:pgSz w:w="12240" w:h="15840" w:code="1"/>
      <w:pgMar w:top="1440" w:right="1440" w:bottom="720" w:left="1440" w:header="1440" w:footer="720" w:gutter="0"/>
      <w:pgNumType w:start="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EE866" w14:textId="77777777" w:rsidR="009D1D3B" w:rsidRDefault="009D1D3B" w:rsidP="00AA7142">
      <w:r>
        <w:separator/>
      </w:r>
    </w:p>
  </w:endnote>
  <w:endnote w:type="continuationSeparator" w:id="0">
    <w:p w14:paraId="1CC1A2AF" w14:textId="77777777" w:rsidR="009D1D3B" w:rsidRDefault="009D1D3B" w:rsidP="00AA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rPr>
      <w:id w:val="-1119759891"/>
      <w:docPartObj>
        <w:docPartGallery w:val="Page Numbers (Bottom of Page)"/>
        <w:docPartUnique/>
      </w:docPartObj>
    </w:sdtPr>
    <w:sdtEndPr>
      <w:rPr>
        <w:noProof/>
      </w:rPr>
    </w:sdtEndPr>
    <w:sdtContent>
      <w:p w14:paraId="27F17927" w14:textId="051F35EC" w:rsidR="003719F0" w:rsidRDefault="00E03C6D" w:rsidP="003719F0">
        <w:pPr>
          <w:pStyle w:val="Footer"/>
          <w:rPr>
            <w:rFonts w:ascii="Times New Roman" w:hAnsi="Times New Roman"/>
            <w:sz w:val="20"/>
          </w:rPr>
        </w:pPr>
        <w:r>
          <w:rPr>
            <w:rFonts w:ascii="Times New Roman" w:hAnsi="Times New Roman"/>
            <w:sz w:val="20"/>
          </w:rPr>
          <w:t>Final</w:t>
        </w:r>
        <w:r w:rsidR="00EE610C">
          <w:rPr>
            <w:rFonts w:ascii="Times New Roman" w:hAnsi="Times New Roman"/>
            <w:sz w:val="20"/>
          </w:rPr>
          <w:t xml:space="preserve"> 2022</w:t>
        </w:r>
      </w:p>
      <w:p w14:paraId="75C19446" w14:textId="6C16D375" w:rsidR="003719F0" w:rsidRPr="003719F0" w:rsidRDefault="003719F0">
        <w:pPr>
          <w:pStyle w:val="Footer"/>
          <w:jc w:val="center"/>
          <w:rPr>
            <w:rFonts w:ascii="Times New Roman" w:hAnsi="Times New Roman"/>
            <w:sz w:val="20"/>
          </w:rPr>
        </w:pPr>
        <w:r w:rsidRPr="003719F0">
          <w:rPr>
            <w:rFonts w:ascii="Times New Roman" w:hAnsi="Times New Roman"/>
            <w:sz w:val="20"/>
          </w:rPr>
          <w:fldChar w:fldCharType="begin"/>
        </w:r>
        <w:r w:rsidRPr="003719F0">
          <w:rPr>
            <w:rFonts w:ascii="Times New Roman" w:hAnsi="Times New Roman"/>
            <w:sz w:val="20"/>
          </w:rPr>
          <w:instrText xml:space="preserve"> PAGE   \* MERGEFORMAT </w:instrText>
        </w:r>
        <w:r w:rsidRPr="003719F0">
          <w:rPr>
            <w:rFonts w:ascii="Times New Roman" w:hAnsi="Times New Roman"/>
            <w:sz w:val="20"/>
          </w:rPr>
          <w:fldChar w:fldCharType="separate"/>
        </w:r>
        <w:r w:rsidR="00E03C6D">
          <w:rPr>
            <w:rFonts w:ascii="Times New Roman" w:hAnsi="Times New Roman"/>
            <w:noProof/>
            <w:sz w:val="20"/>
          </w:rPr>
          <w:t>9</w:t>
        </w:r>
        <w:r w:rsidRPr="003719F0">
          <w:rPr>
            <w:rFonts w:ascii="Times New Roman" w:hAnsi="Times New Roman"/>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F05C2" w14:textId="77777777" w:rsidR="009D1D3B" w:rsidRDefault="009D1D3B" w:rsidP="00AA7142">
      <w:r>
        <w:separator/>
      </w:r>
    </w:p>
  </w:footnote>
  <w:footnote w:type="continuationSeparator" w:id="0">
    <w:p w14:paraId="7317CFC2" w14:textId="77777777" w:rsidR="009D1D3B" w:rsidRDefault="009D1D3B" w:rsidP="00AA71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775"/>
    <w:rsid w:val="00043019"/>
    <w:rsid w:val="0006735E"/>
    <w:rsid w:val="000702E9"/>
    <w:rsid w:val="000B0018"/>
    <w:rsid w:val="000B5BEE"/>
    <w:rsid w:val="000C42B0"/>
    <w:rsid w:val="00110415"/>
    <w:rsid w:val="00136AEC"/>
    <w:rsid w:val="00172F4A"/>
    <w:rsid w:val="00181897"/>
    <w:rsid w:val="002A5755"/>
    <w:rsid w:val="002E54AF"/>
    <w:rsid w:val="003063B7"/>
    <w:rsid w:val="00341769"/>
    <w:rsid w:val="0035134E"/>
    <w:rsid w:val="003719F0"/>
    <w:rsid w:val="003D0339"/>
    <w:rsid w:val="003D0A17"/>
    <w:rsid w:val="003D5969"/>
    <w:rsid w:val="004636B9"/>
    <w:rsid w:val="00493696"/>
    <w:rsid w:val="004B377B"/>
    <w:rsid w:val="00517AA6"/>
    <w:rsid w:val="00564784"/>
    <w:rsid w:val="005B3C1A"/>
    <w:rsid w:val="006178BB"/>
    <w:rsid w:val="006241FD"/>
    <w:rsid w:val="00634193"/>
    <w:rsid w:val="006E7D06"/>
    <w:rsid w:val="00755FED"/>
    <w:rsid w:val="00760E88"/>
    <w:rsid w:val="00793F79"/>
    <w:rsid w:val="007F6B7B"/>
    <w:rsid w:val="00840A6C"/>
    <w:rsid w:val="008B1808"/>
    <w:rsid w:val="008B1B74"/>
    <w:rsid w:val="008D1F0E"/>
    <w:rsid w:val="008D7EF3"/>
    <w:rsid w:val="00903775"/>
    <w:rsid w:val="00931517"/>
    <w:rsid w:val="00934100"/>
    <w:rsid w:val="00966A21"/>
    <w:rsid w:val="0097723E"/>
    <w:rsid w:val="009D1D3B"/>
    <w:rsid w:val="00A445DE"/>
    <w:rsid w:val="00A563A8"/>
    <w:rsid w:val="00AA7142"/>
    <w:rsid w:val="00AD16EA"/>
    <w:rsid w:val="00B020A8"/>
    <w:rsid w:val="00BC5EE2"/>
    <w:rsid w:val="00BE6395"/>
    <w:rsid w:val="00BF5E45"/>
    <w:rsid w:val="00C579C7"/>
    <w:rsid w:val="00C73C82"/>
    <w:rsid w:val="00C75803"/>
    <w:rsid w:val="00C972C1"/>
    <w:rsid w:val="00CF0F8E"/>
    <w:rsid w:val="00CF1ABE"/>
    <w:rsid w:val="00D02E57"/>
    <w:rsid w:val="00D4148E"/>
    <w:rsid w:val="00D42167"/>
    <w:rsid w:val="00D566A5"/>
    <w:rsid w:val="00D75A8D"/>
    <w:rsid w:val="00DC5A57"/>
    <w:rsid w:val="00DE4EF3"/>
    <w:rsid w:val="00E0199B"/>
    <w:rsid w:val="00E03C6D"/>
    <w:rsid w:val="00E32D63"/>
    <w:rsid w:val="00E50597"/>
    <w:rsid w:val="00E93894"/>
    <w:rsid w:val="00E97881"/>
    <w:rsid w:val="00EE610C"/>
    <w:rsid w:val="00F33E05"/>
    <w:rsid w:val="00F349D1"/>
    <w:rsid w:val="00FA074A"/>
    <w:rsid w:val="00FA3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95409AF"/>
  <w15:docId w15:val="{51A172DC-3532-4CF1-ABC7-27201D011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775"/>
    <w:pPr>
      <w:widowControl w:val="0"/>
      <w:spacing w:after="0" w:line="240" w:lineRule="auto"/>
    </w:pPr>
    <w:rPr>
      <w:rFonts w:ascii="Univers" w:eastAsia="Times New Roman" w:hAnsi="Univers" w:cs="Times New Roman"/>
      <w:snapToGrid w:val="0"/>
      <w:sz w:val="24"/>
      <w:szCs w:val="20"/>
    </w:rPr>
  </w:style>
  <w:style w:type="paragraph" w:styleId="Heading1">
    <w:name w:val="heading 1"/>
    <w:basedOn w:val="Normal"/>
    <w:next w:val="Normal"/>
    <w:link w:val="Heading1Char"/>
    <w:qFormat/>
    <w:rsid w:val="00903775"/>
    <w:pPr>
      <w:keepNext/>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3775"/>
    <w:rPr>
      <w:rFonts w:ascii="Univers" w:eastAsia="Times New Roman" w:hAnsi="Univers" w:cs="Times New Roman"/>
      <w:b/>
      <w:snapToGrid w:val="0"/>
      <w:sz w:val="20"/>
      <w:szCs w:val="20"/>
    </w:rPr>
  </w:style>
  <w:style w:type="paragraph" w:styleId="Footer">
    <w:name w:val="footer"/>
    <w:basedOn w:val="Normal"/>
    <w:link w:val="FooterChar"/>
    <w:uiPriority w:val="99"/>
    <w:rsid w:val="00903775"/>
    <w:pPr>
      <w:tabs>
        <w:tab w:val="center" w:pos="4320"/>
        <w:tab w:val="right" w:pos="8640"/>
      </w:tabs>
    </w:pPr>
  </w:style>
  <w:style w:type="character" w:customStyle="1" w:styleId="FooterChar">
    <w:name w:val="Footer Char"/>
    <w:basedOn w:val="DefaultParagraphFont"/>
    <w:link w:val="Footer"/>
    <w:uiPriority w:val="99"/>
    <w:rsid w:val="00903775"/>
    <w:rPr>
      <w:rFonts w:ascii="Univers" w:eastAsia="Times New Roman" w:hAnsi="Univers" w:cs="Times New Roman"/>
      <w:snapToGrid w:val="0"/>
      <w:sz w:val="24"/>
      <w:szCs w:val="20"/>
    </w:rPr>
  </w:style>
  <w:style w:type="character" w:styleId="Hyperlink">
    <w:name w:val="Hyperlink"/>
    <w:basedOn w:val="DefaultParagraphFont"/>
    <w:rsid w:val="00903775"/>
    <w:rPr>
      <w:color w:val="0000FF" w:themeColor="hyperlink"/>
      <w:u w:val="single"/>
    </w:rPr>
  </w:style>
  <w:style w:type="paragraph" w:styleId="Header">
    <w:name w:val="header"/>
    <w:basedOn w:val="Normal"/>
    <w:link w:val="HeaderChar"/>
    <w:uiPriority w:val="99"/>
    <w:unhideWhenUsed/>
    <w:rsid w:val="00A445DE"/>
    <w:pPr>
      <w:tabs>
        <w:tab w:val="center" w:pos="4680"/>
        <w:tab w:val="right" w:pos="9360"/>
      </w:tabs>
    </w:pPr>
  </w:style>
  <w:style w:type="character" w:customStyle="1" w:styleId="HeaderChar">
    <w:name w:val="Header Char"/>
    <w:basedOn w:val="DefaultParagraphFont"/>
    <w:link w:val="Header"/>
    <w:uiPriority w:val="99"/>
    <w:rsid w:val="00A445DE"/>
    <w:rPr>
      <w:rFonts w:ascii="Univers" w:eastAsia="Times New Roman" w:hAnsi="Univers" w:cs="Times New Roman"/>
      <w:snapToGrid w:val="0"/>
      <w:sz w:val="24"/>
      <w:szCs w:val="20"/>
    </w:rPr>
  </w:style>
  <w:style w:type="character" w:styleId="FollowedHyperlink">
    <w:name w:val="FollowedHyperlink"/>
    <w:basedOn w:val="DefaultParagraphFont"/>
    <w:uiPriority w:val="99"/>
    <w:semiHidden/>
    <w:unhideWhenUsed/>
    <w:rsid w:val="006E7D06"/>
    <w:rPr>
      <w:color w:val="800080" w:themeColor="followedHyperlink"/>
      <w:u w:val="single"/>
    </w:rPr>
  </w:style>
  <w:style w:type="table" w:styleId="TableGrid">
    <w:name w:val="Table Grid"/>
    <w:basedOn w:val="TableNormal"/>
    <w:uiPriority w:val="59"/>
    <w:rsid w:val="00517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40A6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40A6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40A6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mmentReference">
    <w:name w:val="annotation reference"/>
    <w:basedOn w:val="DefaultParagraphFont"/>
    <w:uiPriority w:val="99"/>
    <w:semiHidden/>
    <w:unhideWhenUsed/>
    <w:rsid w:val="008D1F0E"/>
    <w:rPr>
      <w:sz w:val="16"/>
      <w:szCs w:val="16"/>
    </w:rPr>
  </w:style>
  <w:style w:type="paragraph" w:styleId="CommentText">
    <w:name w:val="annotation text"/>
    <w:basedOn w:val="Normal"/>
    <w:link w:val="CommentTextChar"/>
    <w:uiPriority w:val="99"/>
    <w:semiHidden/>
    <w:unhideWhenUsed/>
    <w:rsid w:val="008D1F0E"/>
    <w:rPr>
      <w:sz w:val="20"/>
    </w:rPr>
  </w:style>
  <w:style w:type="character" w:customStyle="1" w:styleId="CommentTextChar">
    <w:name w:val="Comment Text Char"/>
    <w:basedOn w:val="DefaultParagraphFont"/>
    <w:link w:val="CommentText"/>
    <w:uiPriority w:val="99"/>
    <w:semiHidden/>
    <w:rsid w:val="008D1F0E"/>
    <w:rPr>
      <w:rFonts w:ascii="Univers" w:eastAsia="Times New Roman" w:hAnsi="Univers"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8D1F0E"/>
    <w:rPr>
      <w:b/>
      <w:bCs/>
    </w:rPr>
  </w:style>
  <w:style w:type="character" w:customStyle="1" w:styleId="CommentSubjectChar">
    <w:name w:val="Comment Subject Char"/>
    <w:basedOn w:val="CommentTextChar"/>
    <w:link w:val="CommentSubject"/>
    <w:uiPriority w:val="99"/>
    <w:semiHidden/>
    <w:rsid w:val="008D1F0E"/>
    <w:rPr>
      <w:rFonts w:ascii="Univers" w:eastAsia="Times New Roman" w:hAnsi="Univers" w:cs="Times New Roman"/>
      <w:b/>
      <w:bCs/>
      <w:snapToGrid w:val="0"/>
      <w:sz w:val="20"/>
      <w:szCs w:val="20"/>
    </w:rPr>
  </w:style>
  <w:style w:type="paragraph" w:styleId="BalloonText">
    <w:name w:val="Balloon Text"/>
    <w:basedOn w:val="Normal"/>
    <w:link w:val="BalloonTextChar"/>
    <w:uiPriority w:val="99"/>
    <w:semiHidden/>
    <w:unhideWhenUsed/>
    <w:rsid w:val="008D1F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F0E"/>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ss.usda.gov/Publications/AgCensus/2017/Full_Report/Volume_1,_Chapter_1_State_Level/Virginia/vav1.pdf" TargetMode="External"/><Relationship Id="rId3" Type="http://schemas.openxmlformats.org/officeDocument/2006/relationships/settings" Target="settings.xml"/><Relationship Id="rId7" Type="http://schemas.openxmlformats.org/officeDocument/2006/relationships/hyperlink" Target="https://www.dof.virginia.gov/infopubs/_sof/SOF-2018_pub.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19DD5-B297-46FB-B620-E16D6A50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Chapter 2 State Background Information</vt:lpstr>
    </vt:vector>
  </TitlesOfParts>
  <Company>Virginia IT Infrastructure Partnership</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State Background Information</dc:title>
  <dc:creator>Amanda.Shaver@deq.virginia.gov</dc:creator>
  <cp:lastModifiedBy>Shaver, Amanda (DEQ)</cp:lastModifiedBy>
  <cp:revision>2</cp:revision>
  <dcterms:created xsi:type="dcterms:W3CDTF">2022-09-20T12:36:00Z</dcterms:created>
  <dcterms:modified xsi:type="dcterms:W3CDTF">2022-09-20T12:36:00Z</dcterms:modified>
</cp:coreProperties>
</file>